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1FBC" w14:textId="77777777" w:rsidR="00911308" w:rsidRDefault="00911308" w:rsidP="00A655D2">
      <w:pPr>
        <w:pStyle w:val="Heading2"/>
        <w:rPr>
          <w:u w:val="single"/>
        </w:rPr>
      </w:pPr>
    </w:p>
    <w:p w14:paraId="51E0F6DD" w14:textId="77777777" w:rsidR="00911308" w:rsidRPr="00A655D2" w:rsidRDefault="00911308" w:rsidP="00911308">
      <w:pPr>
        <w:pStyle w:val="Heading2"/>
        <w:jc w:val="center"/>
        <w:rPr>
          <w:b/>
          <w:bCs/>
          <w:u w:val="single"/>
        </w:rPr>
      </w:pPr>
    </w:p>
    <w:p w14:paraId="72CBB809" w14:textId="2F855DF9" w:rsidR="00171C29" w:rsidRPr="00C41E2C" w:rsidRDefault="007B2D16" w:rsidP="00C41E2C">
      <w:pPr>
        <w:pStyle w:val="Heading2"/>
        <w:jc w:val="center"/>
        <w:rPr>
          <w:b/>
          <w:bCs/>
          <w:u w:val="single"/>
        </w:rPr>
      </w:pPr>
      <w:r w:rsidRPr="00A655D2">
        <w:rPr>
          <w:b/>
          <w:bCs/>
          <w:u w:val="single"/>
        </w:rPr>
        <w:t>Terms of Reference</w:t>
      </w:r>
      <w:r w:rsidR="00BE1914">
        <w:rPr>
          <w:b/>
          <w:bCs/>
          <w:u w:val="single"/>
        </w:rPr>
        <w:t xml:space="preserve"> (TOR)</w:t>
      </w:r>
      <w:r w:rsidRPr="00A655D2">
        <w:rPr>
          <w:b/>
          <w:bCs/>
          <w:u w:val="single"/>
        </w:rPr>
        <w:t xml:space="preserve"> for </w:t>
      </w:r>
      <w:r w:rsidR="00F126C3">
        <w:rPr>
          <w:b/>
          <w:bCs/>
          <w:u w:val="single"/>
        </w:rPr>
        <w:t>Employment Legal Specialist</w:t>
      </w:r>
      <w:r w:rsidR="00C41E2C">
        <w:rPr>
          <w:b/>
          <w:bCs/>
          <w:u w:val="single"/>
        </w:rPr>
        <w:t xml:space="preserve"> </w:t>
      </w:r>
      <w:r w:rsidR="003855CE">
        <w:rPr>
          <w:b/>
          <w:bCs/>
          <w:u w:val="single"/>
        </w:rPr>
        <w:t xml:space="preserve"> </w:t>
      </w:r>
    </w:p>
    <w:p w14:paraId="09FB5E94" w14:textId="77777777" w:rsidR="00C41E2C" w:rsidRDefault="00C41E2C" w:rsidP="00CD2E62">
      <w:pPr>
        <w:pStyle w:val="Heading2"/>
        <w:jc w:val="both"/>
        <w:rPr>
          <w:rFonts w:eastAsiaTheme="minorHAnsi"/>
          <w:b/>
          <w:bCs/>
          <w:sz w:val="24"/>
          <w:szCs w:val="24"/>
        </w:rPr>
      </w:pPr>
    </w:p>
    <w:p w14:paraId="0730AEB0" w14:textId="627BE08B" w:rsidR="00E9783C" w:rsidRPr="00CD2E62" w:rsidRDefault="00894023" w:rsidP="00CD2E62">
      <w:pPr>
        <w:pStyle w:val="Heading2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Secours Islamique France (</w:t>
      </w:r>
      <w:r w:rsidR="00C61E42" w:rsidRPr="00CD2E62">
        <w:rPr>
          <w:rFonts w:eastAsiaTheme="minorHAnsi"/>
          <w:b/>
          <w:bCs/>
          <w:sz w:val="24"/>
          <w:szCs w:val="24"/>
        </w:rPr>
        <w:t>S</w:t>
      </w:r>
      <w:r>
        <w:rPr>
          <w:rFonts w:eastAsiaTheme="minorHAnsi"/>
          <w:b/>
          <w:bCs/>
          <w:sz w:val="24"/>
          <w:szCs w:val="24"/>
        </w:rPr>
        <w:t>IF) Lebanon Mission</w:t>
      </w:r>
      <w:r w:rsidR="00371DF4" w:rsidRPr="00CD2E62">
        <w:rPr>
          <w:rFonts w:eastAsiaTheme="minorHAnsi"/>
          <w:b/>
          <w:bCs/>
          <w:sz w:val="24"/>
          <w:szCs w:val="24"/>
        </w:rPr>
        <w:t xml:space="preserve"> </w:t>
      </w:r>
    </w:p>
    <w:p w14:paraId="757910E7" w14:textId="408A55FE" w:rsidR="009A02A6" w:rsidRPr="009A02A6" w:rsidRDefault="009A02A6" w:rsidP="00CD2E62">
      <w:pPr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080EAD2" w14:textId="5B6CC338" w:rsidR="00FC61D2" w:rsidRPr="00016741" w:rsidRDefault="000942BB" w:rsidP="00894023">
      <w:pPr>
        <w:jc w:val="both"/>
      </w:pPr>
      <w:bookmarkStart w:id="0" w:name="_Hlk117071248"/>
      <w:r w:rsidRPr="00016741">
        <w:t xml:space="preserve">SIF </w:t>
      </w:r>
      <w:r w:rsidR="00551C60">
        <w:t xml:space="preserve">Lebanon </w:t>
      </w:r>
      <w:r w:rsidR="00894023">
        <w:t>Mission is</w:t>
      </w:r>
      <w:r w:rsidRPr="00016741">
        <w:t xml:space="preserve"> duly registered in Lebanon by Decree 13572/2014 and has its Lebanon Country Office </w:t>
      </w:r>
      <w:r w:rsidR="00F126C3">
        <w:t>on</w:t>
      </w:r>
      <w:r w:rsidRPr="00016741">
        <w:t xml:space="preserve"> </w:t>
      </w:r>
      <w:r w:rsidR="00F126C3">
        <w:t xml:space="preserve">the </w:t>
      </w:r>
      <w:r w:rsidRPr="00016741">
        <w:t>1st Floor, Lamod Building, Berlin Street, Raouche. SIF implements programs for Syrian and Palestinian refugees</w:t>
      </w:r>
      <w:r w:rsidR="00F126C3" w:rsidRPr="00F126C3">
        <w:t xml:space="preserve"> and vulnerable Lebanese host populations</w:t>
      </w:r>
      <w:r w:rsidRPr="00016741">
        <w:t xml:space="preserve"> in Beirut, Mount Lebanon</w:t>
      </w:r>
      <w:r w:rsidR="00F126C3">
        <w:t>,</w:t>
      </w:r>
      <w:r w:rsidRPr="00016741">
        <w:t xml:space="preserve"> and North Lebanon, regardless of their social, religious, or cultural affiliations. Our sectors of operation are Child Protecti</w:t>
      </w:r>
      <w:r w:rsidR="00894023">
        <w:t>on, Livelihoods</w:t>
      </w:r>
      <w:r w:rsidR="00F126C3">
        <w:t>,</w:t>
      </w:r>
      <w:r w:rsidR="00894023">
        <w:t xml:space="preserve"> and</w:t>
      </w:r>
      <w:r w:rsidRPr="00016741">
        <w:t xml:space="preserve"> Food Security, </w:t>
      </w:r>
      <w:r w:rsidR="00894023">
        <w:t xml:space="preserve">and SIF implements </w:t>
      </w:r>
      <w:r w:rsidRPr="00016741">
        <w:t>both directly and with national NGO partners</w:t>
      </w:r>
      <w:r w:rsidR="00894023">
        <w:t xml:space="preserve">. Previous </w:t>
      </w:r>
      <w:r w:rsidR="003F261F">
        <w:t>sectors</w:t>
      </w:r>
      <w:r w:rsidR="00894023">
        <w:t xml:space="preserve"> of </w:t>
      </w:r>
      <w:r w:rsidRPr="00016741">
        <w:t xml:space="preserve">implementation </w:t>
      </w:r>
      <w:r w:rsidR="00894023">
        <w:t>are Water, Sanitation</w:t>
      </w:r>
      <w:r w:rsidR="00F126C3">
        <w:t>,</w:t>
      </w:r>
      <w:r w:rsidR="00894023">
        <w:t xml:space="preserve"> and Hygiene</w:t>
      </w:r>
      <w:r w:rsidRPr="00016741">
        <w:t xml:space="preserve"> </w:t>
      </w:r>
      <w:r w:rsidR="00894023">
        <w:t>(</w:t>
      </w:r>
      <w:r w:rsidRPr="00016741">
        <w:t>WASH</w:t>
      </w:r>
      <w:r w:rsidR="00894023">
        <w:t>)</w:t>
      </w:r>
      <w:r w:rsidRPr="00016741">
        <w:t>, Educat</w:t>
      </w:r>
      <w:r w:rsidR="00894023">
        <w:t>ion</w:t>
      </w:r>
      <w:r w:rsidR="00F126C3">
        <w:t>,</w:t>
      </w:r>
      <w:r w:rsidR="00894023">
        <w:t xml:space="preserve"> and Social Stability</w:t>
      </w:r>
      <w:r w:rsidRPr="00016741">
        <w:t>. SIF actively participates in both National and Regional coordination mechanisms and liaises with relevant local authorities</w:t>
      </w:r>
      <w:r w:rsidR="00016741" w:rsidRPr="00016741">
        <w:t xml:space="preserve">. </w:t>
      </w:r>
    </w:p>
    <w:bookmarkEnd w:id="0"/>
    <w:p w14:paraId="19BB0DE0" w14:textId="0E2E3AAB" w:rsidR="003855CE" w:rsidRDefault="003855CE">
      <w:pPr>
        <w:pStyle w:val="Heading3"/>
        <w:numPr>
          <w:ilvl w:val="0"/>
          <w:numId w:val="1"/>
        </w:numPr>
        <w:jc w:val="both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 xml:space="preserve">Scope of </w:t>
      </w:r>
      <w:r w:rsidR="00894023">
        <w:rPr>
          <w:rFonts w:eastAsiaTheme="minorHAnsi"/>
          <w:b/>
          <w:bCs/>
          <w:u w:val="single"/>
        </w:rPr>
        <w:t>S</w:t>
      </w:r>
      <w:r>
        <w:rPr>
          <w:rFonts w:eastAsiaTheme="minorHAnsi"/>
          <w:b/>
          <w:bCs/>
          <w:u w:val="single"/>
        </w:rPr>
        <w:t>ervices</w:t>
      </w:r>
      <w:r w:rsidR="003B60E3" w:rsidRPr="00CD2E62">
        <w:rPr>
          <w:rFonts w:eastAsiaTheme="minorHAnsi"/>
          <w:b/>
          <w:bCs/>
          <w:u w:val="single"/>
        </w:rPr>
        <w:t xml:space="preserve">; </w:t>
      </w:r>
    </w:p>
    <w:p w14:paraId="0249CF8B" w14:textId="394C0B1E" w:rsidR="00DA0504" w:rsidRDefault="000D3709" w:rsidP="000E5FF3">
      <w:r>
        <w:t xml:space="preserve">SIF </w:t>
      </w:r>
      <w:r w:rsidR="00EF2137">
        <w:t xml:space="preserve">Lebanon </w:t>
      </w:r>
      <w:r>
        <w:t>is seeking the services of a</w:t>
      </w:r>
      <w:r w:rsidR="00F126C3">
        <w:t>n Employment Legal Specialist</w:t>
      </w:r>
      <w:r w:rsidR="00972876">
        <w:t xml:space="preserve"> </w:t>
      </w:r>
      <w:r>
        <w:t>service provider to provide the following services</w:t>
      </w:r>
      <w:r w:rsidR="000E5FF3">
        <w:t>:</w:t>
      </w:r>
    </w:p>
    <w:p w14:paraId="36D8FB5F" w14:textId="6BADEB3D" w:rsidR="00620AE4" w:rsidRPr="00620AE4" w:rsidRDefault="000E5FF3" w:rsidP="00620AE4">
      <w:pPr>
        <w:pStyle w:val="ListParagraph"/>
        <w:numPr>
          <w:ilvl w:val="0"/>
          <w:numId w:val="4"/>
        </w:numPr>
      </w:pPr>
      <w:r w:rsidRPr="00620AE4">
        <w:t xml:space="preserve">Conducting legal </w:t>
      </w:r>
      <w:r w:rsidR="00620AE4">
        <w:t>advi</w:t>
      </w:r>
      <w:r w:rsidR="00420E1D">
        <w:t>c</w:t>
      </w:r>
      <w:r w:rsidR="00620AE4">
        <w:t xml:space="preserve">e on job placement opportunities for </w:t>
      </w:r>
      <w:r w:rsidR="00420E1D">
        <w:t xml:space="preserve">host communities and </w:t>
      </w:r>
      <w:r w:rsidR="00620AE4">
        <w:t>refugees including Palestinian and Syrian girls/women.</w:t>
      </w:r>
    </w:p>
    <w:p w14:paraId="6B874080" w14:textId="0A267222" w:rsidR="000E5FF3" w:rsidRDefault="00620AE4" w:rsidP="00620AE4">
      <w:pPr>
        <w:pStyle w:val="ListParagraph"/>
        <w:numPr>
          <w:ilvl w:val="0"/>
          <w:numId w:val="4"/>
        </w:numPr>
      </w:pPr>
      <w:r>
        <w:t xml:space="preserve">Provide legal job placements </w:t>
      </w:r>
      <w:r w:rsidR="000E5FF3" w:rsidRPr="00620AE4">
        <w:t>contract</w:t>
      </w:r>
      <w:r>
        <w:t xml:space="preserve">s between SIF, the employer and the </w:t>
      </w:r>
      <w:r w:rsidR="00420E1D">
        <w:t>participant</w:t>
      </w:r>
      <w:r>
        <w:t>.</w:t>
      </w:r>
    </w:p>
    <w:p w14:paraId="64331201" w14:textId="36F454F8" w:rsidR="00620AE4" w:rsidRPr="00620AE4" w:rsidRDefault="00620AE4" w:rsidP="00620AE4">
      <w:pPr>
        <w:pStyle w:val="ListParagraph"/>
        <w:numPr>
          <w:ilvl w:val="0"/>
          <w:numId w:val="4"/>
        </w:numPr>
      </w:pPr>
      <w:r>
        <w:t>Provide legal contracts between MSMEs and SIF.</w:t>
      </w:r>
    </w:p>
    <w:p w14:paraId="1430E402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Drafting and preparing claims, employment contracts, or other legal documentation</w:t>
      </w:r>
    </w:p>
    <w:p w14:paraId="32A7DDDF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Providing legal advice to beneficiaries</w:t>
      </w:r>
    </w:p>
    <w:p w14:paraId="6CF76FE1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Working in the best interest of beneficiaries</w:t>
      </w:r>
    </w:p>
    <w:p w14:paraId="6B8BE998" w14:textId="7C45DC13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Keeping up to date with new rules, regulations, alterations, and developments in employment legislation, especially for Syrians and Palestinians willing to work in Lebanon</w:t>
      </w:r>
    </w:p>
    <w:p w14:paraId="718D6AEB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Assisting beneficiaries with the completion of paperwork, and ensuring they are submitted on time.</w:t>
      </w:r>
    </w:p>
    <w:p w14:paraId="594BBF91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Providing beneficiaries with all relevant documentation</w:t>
      </w:r>
    </w:p>
    <w:p w14:paraId="4A0103CE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Verifying the authenticity of paperwork and supporting documents</w:t>
      </w:r>
    </w:p>
    <w:p w14:paraId="23FBBF6B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Provide solutions for foreigners willing to hold jobs in Lebanon</w:t>
      </w:r>
    </w:p>
    <w:p w14:paraId="0BEB2D96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 xml:space="preserve">Consult and recommend solutions to beneficiaries to help increase their employability rates </w:t>
      </w:r>
    </w:p>
    <w:p w14:paraId="5840926E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Follow up on cases</w:t>
      </w:r>
    </w:p>
    <w:p w14:paraId="403E75FB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Research and reach out to specialized parties to help recommend solutions for different employability problems that foreigners might face</w:t>
      </w:r>
    </w:p>
    <w:p w14:paraId="3740E6DD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Prepare background materials, reports, papers, and other documents as requested by the supervisor or line manager</w:t>
      </w:r>
    </w:p>
    <w:p w14:paraId="4FE58D77" w14:textId="77777777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Knowledgeable in employment regulations and policies of foreigners in Lebanon</w:t>
      </w:r>
    </w:p>
    <w:p w14:paraId="3470FEA0" w14:textId="5194323A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 xml:space="preserve">Engaged in the job matching for vulnerable women to ensure they do not encounter any constraints in their placement due to their nationality </w:t>
      </w:r>
    </w:p>
    <w:p w14:paraId="6DE50548" w14:textId="1FEE174C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Engagement prior to the job-matching for vulnerable women to ensure they do not encounter any constraints in their placement due to their nationality</w:t>
      </w:r>
    </w:p>
    <w:p w14:paraId="0C007B9B" w14:textId="4E905B9B" w:rsidR="000E5FF3" w:rsidRPr="00620AE4" w:rsidRDefault="000E5FF3">
      <w:pPr>
        <w:pStyle w:val="ListParagraph"/>
        <w:numPr>
          <w:ilvl w:val="0"/>
          <w:numId w:val="4"/>
        </w:numPr>
      </w:pPr>
      <w:r w:rsidRPr="00620AE4">
        <w:t>Conduct awareness sessions for MSMEs and Women about labor rights</w:t>
      </w:r>
    </w:p>
    <w:p w14:paraId="13171E5B" w14:textId="16D6E56F" w:rsidR="0045237D" w:rsidRPr="00620AE4" w:rsidRDefault="0045237D">
      <w:pPr>
        <w:pStyle w:val="ListParagraph"/>
        <w:numPr>
          <w:ilvl w:val="0"/>
          <w:numId w:val="4"/>
        </w:numPr>
      </w:pPr>
      <w:r w:rsidRPr="00620AE4">
        <w:t xml:space="preserve">Knowledgeable in Labor rights for Lebanese, Syrians, and Palestinians </w:t>
      </w:r>
    </w:p>
    <w:p w14:paraId="355362AE" w14:textId="77777777" w:rsidR="000E5FF3" w:rsidRPr="003855CE" w:rsidRDefault="000E5FF3" w:rsidP="000E5FF3"/>
    <w:p w14:paraId="5576E8A5" w14:textId="77777777" w:rsidR="00AF7430" w:rsidRPr="00AF7430" w:rsidRDefault="00AF7430" w:rsidP="00CD2E62">
      <w:pPr>
        <w:jc w:val="both"/>
        <w:rPr>
          <w:sz w:val="2"/>
          <w:szCs w:val="2"/>
        </w:rPr>
      </w:pPr>
    </w:p>
    <w:p w14:paraId="3A4B32FE" w14:textId="58C5F642" w:rsidR="00485E7B" w:rsidRDefault="00165F25">
      <w:pPr>
        <w:pStyle w:val="Heading3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Time duration</w:t>
      </w:r>
    </w:p>
    <w:p w14:paraId="3D852615" w14:textId="77777777" w:rsidR="000E5FF3" w:rsidRPr="000E5FF3" w:rsidRDefault="000E5FF3" w:rsidP="000E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889"/>
        <w:gridCol w:w="1795"/>
        <w:gridCol w:w="1749"/>
      </w:tblGrid>
      <w:tr w:rsidR="000E5FF3" w14:paraId="5B1EA6B5" w14:textId="77777777" w:rsidTr="00805AEE">
        <w:tc>
          <w:tcPr>
            <w:tcW w:w="2917" w:type="dxa"/>
          </w:tcPr>
          <w:p w14:paraId="77A46453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Deliverables</w:t>
            </w:r>
          </w:p>
        </w:tc>
        <w:tc>
          <w:tcPr>
            <w:tcW w:w="2889" w:type="dxa"/>
          </w:tcPr>
          <w:p w14:paraId="78A9B631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Estimated number of persons</w:t>
            </w:r>
          </w:p>
        </w:tc>
        <w:tc>
          <w:tcPr>
            <w:tcW w:w="1795" w:type="dxa"/>
          </w:tcPr>
          <w:p w14:paraId="21BF6153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Due date</w:t>
            </w:r>
          </w:p>
        </w:tc>
        <w:tc>
          <w:tcPr>
            <w:tcW w:w="1749" w:type="dxa"/>
          </w:tcPr>
          <w:p w14:paraId="460579CE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Review &amp; Approval required</w:t>
            </w:r>
          </w:p>
        </w:tc>
      </w:tr>
      <w:tr w:rsidR="000E5FF3" w14:paraId="6BC05BBC" w14:textId="77777777" w:rsidTr="00805AEE">
        <w:tc>
          <w:tcPr>
            <w:tcW w:w="2917" w:type="dxa"/>
          </w:tcPr>
          <w:p w14:paraId="41EE438C" w14:textId="6EE45CE0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Develop job placement contracts for women/girls</w:t>
            </w:r>
          </w:p>
        </w:tc>
        <w:tc>
          <w:tcPr>
            <w:tcW w:w="2889" w:type="dxa"/>
          </w:tcPr>
          <w:p w14:paraId="6CA22ADF" w14:textId="3F4BD950" w:rsidR="000E5FF3" w:rsidRDefault="00420E1D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270</w:t>
            </w:r>
          </w:p>
        </w:tc>
        <w:tc>
          <w:tcPr>
            <w:tcW w:w="1795" w:type="dxa"/>
          </w:tcPr>
          <w:p w14:paraId="2453A520" w14:textId="31765E19" w:rsidR="000E5FF3" w:rsidRDefault="0045237D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14:paraId="37F276B2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FF3" w14:paraId="65857894" w14:textId="77777777" w:rsidTr="00805AEE">
        <w:tc>
          <w:tcPr>
            <w:tcW w:w="2917" w:type="dxa"/>
          </w:tcPr>
          <w:p w14:paraId="4D8C29AA" w14:textId="434D8292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Draft the final contracts for MSMEs </w:t>
            </w:r>
          </w:p>
        </w:tc>
        <w:tc>
          <w:tcPr>
            <w:tcW w:w="2889" w:type="dxa"/>
          </w:tcPr>
          <w:p w14:paraId="15274E07" w14:textId="65E7DD80" w:rsidR="000E5FF3" w:rsidRDefault="00420E1D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795" w:type="dxa"/>
          </w:tcPr>
          <w:p w14:paraId="1FE93245" w14:textId="3ED2FB4D" w:rsidR="000E5FF3" w:rsidRDefault="0045237D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503A3EBB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FF3" w14:paraId="3F730EC6" w14:textId="77777777" w:rsidTr="00805AEE">
        <w:tc>
          <w:tcPr>
            <w:tcW w:w="2917" w:type="dxa"/>
          </w:tcPr>
          <w:p w14:paraId="4C6FAE24" w14:textId="1D1D5F1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Conduct awareness sessions about labor rights for MSMEs and Participants</w:t>
            </w:r>
          </w:p>
        </w:tc>
        <w:tc>
          <w:tcPr>
            <w:tcW w:w="2889" w:type="dxa"/>
          </w:tcPr>
          <w:p w14:paraId="23947275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7875E3" w14:textId="3197B200" w:rsidR="00C4515D" w:rsidRDefault="00C4515D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F4F8B5C" w14:textId="6A998ACC" w:rsidR="000E5FF3" w:rsidRDefault="0045237D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59A2390A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FF3" w14:paraId="4A5842A6" w14:textId="77777777" w:rsidTr="00805AEE">
        <w:tc>
          <w:tcPr>
            <w:tcW w:w="2917" w:type="dxa"/>
          </w:tcPr>
          <w:p w14:paraId="3C0A891D" w14:textId="213342C1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Follow up on the job allocation activities </w:t>
            </w:r>
          </w:p>
        </w:tc>
        <w:tc>
          <w:tcPr>
            <w:tcW w:w="2889" w:type="dxa"/>
          </w:tcPr>
          <w:p w14:paraId="7B3AE670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DA74CC7" w14:textId="0645800A" w:rsidR="000E5FF3" w:rsidRDefault="0045237D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</w:t>
            </w:r>
            <w:r w:rsidR="00420E1D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14:paraId="36392BF6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FF3" w14:paraId="4D3679A4" w14:textId="77777777" w:rsidTr="00805AEE">
        <w:tc>
          <w:tcPr>
            <w:tcW w:w="2917" w:type="dxa"/>
          </w:tcPr>
          <w:p w14:paraId="3701C2AE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9" w:type="dxa"/>
          </w:tcPr>
          <w:p w14:paraId="59966806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A218DB6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4466FA8" w14:textId="77777777" w:rsidR="000E5FF3" w:rsidRDefault="000E5FF3" w:rsidP="0080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7A53B8" w14:textId="7F4A4F0D" w:rsidR="00165F25" w:rsidRDefault="00165F25" w:rsidP="00C41E2C">
      <w:pPr>
        <w:ind w:left="720"/>
      </w:pPr>
    </w:p>
    <w:p w14:paraId="524A2592" w14:textId="77777777" w:rsidR="00165F25" w:rsidRPr="00742AC6" w:rsidRDefault="00165F25" w:rsidP="00CD2E62">
      <w:pPr>
        <w:pStyle w:val="ListParagraph"/>
        <w:ind w:left="1416"/>
        <w:jc w:val="both"/>
      </w:pPr>
    </w:p>
    <w:p w14:paraId="3001F052" w14:textId="25EA287D" w:rsidR="00B31D08" w:rsidRPr="00C41E2C" w:rsidRDefault="00165F25">
      <w:pPr>
        <w:pStyle w:val="Heading3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Qualification Criteria;</w:t>
      </w:r>
    </w:p>
    <w:p w14:paraId="6F9B5512" w14:textId="38F8FC54" w:rsidR="00C41E2C" w:rsidRDefault="00C41E2C" w:rsidP="00392764">
      <w:pPr>
        <w:ind w:left="720"/>
      </w:pPr>
      <w:r>
        <w:t xml:space="preserve">The </w:t>
      </w:r>
      <w:r w:rsidR="0045237D">
        <w:t>Employment Legal Specialist Service</w:t>
      </w:r>
      <w:r>
        <w:t xml:space="preserve"> provider shall meet the following criteria:</w:t>
      </w:r>
      <w:r w:rsidR="00F4641E" w:rsidRPr="00B31D08">
        <w:t xml:space="preserve"> </w:t>
      </w:r>
    </w:p>
    <w:p w14:paraId="78AF753B" w14:textId="3604106E" w:rsidR="00A655D2" w:rsidRDefault="00110AA5">
      <w:pPr>
        <w:pStyle w:val="ListParagraph"/>
        <w:numPr>
          <w:ilvl w:val="0"/>
          <w:numId w:val="3"/>
        </w:numPr>
      </w:pPr>
      <w:r>
        <w:t>Fluent in Arabic and English</w:t>
      </w:r>
    </w:p>
    <w:p w14:paraId="47C8B9F2" w14:textId="6069CDE3" w:rsidR="00110AA5" w:rsidRPr="00110AA5" w:rsidRDefault="00110AA5">
      <w:pPr>
        <w:pStyle w:val="ListParagraph"/>
        <w:numPr>
          <w:ilvl w:val="0"/>
          <w:numId w:val="3"/>
        </w:numPr>
      </w:pPr>
      <w:r w:rsidRPr="00110AA5">
        <w:t xml:space="preserve">Minimum of a Bachelor’s Degree in </w:t>
      </w:r>
      <w:r w:rsidR="007C61E5">
        <w:t>Law,</w:t>
      </w:r>
      <w:r w:rsidR="00D36E1E">
        <w:t xml:space="preserve"> HR, Communications, or any other related fields</w:t>
      </w:r>
    </w:p>
    <w:p w14:paraId="4F835E24" w14:textId="77777777" w:rsidR="00110AA5" w:rsidRPr="00110AA5" w:rsidRDefault="00110AA5">
      <w:pPr>
        <w:pStyle w:val="ListParagraph"/>
        <w:numPr>
          <w:ilvl w:val="0"/>
          <w:numId w:val="3"/>
        </w:numPr>
      </w:pPr>
      <w:r w:rsidRPr="00110AA5">
        <w:t>Superb verbal and written communication skills</w:t>
      </w:r>
    </w:p>
    <w:p w14:paraId="0AAF592D" w14:textId="77777777" w:rsidR="00110AA5" w:rsidRPr="00110AA5" w:rsidRDefault="00110AA5">
      <w:pPr>
        <w:pStyle w:val="ListParagraph"/>
        <w:numPr>
          <w:ilvl w:val="0"/>
          <w:numId w:val="3"/>
        </w:numPr>
      </w:pPr>
      <w:r w:rsidRPr="00110AA5">
        <w:t>Strong interpersonal skills</w:t>
      </w:r>
    </w:p>
    <w:p w14:paraId="1E7CBB23" w14:textId="77777777" w:rsidR="00110AA5" w:rsidRPr="00110AA5" w:rsidRDefault="00110AA5">
      <w:pPr>
        <w:pStyle w:val="ListParagraph"/>
        <w:numPr>
          <w:ilvl w:val="0"/>
          <w:numId w:val="3"/>
        </w:numPr>
      </w:pPr>
      <w:r w:rsidRPr="00110AA5">
        <w:t>Strong time management skills</w:t>
      </w:r>
    </w:p>
    <w:p w14:paraId="7906116D" w14:textId="77777777" w:rsidR="00110AA5" w:rsidRPr="00110AA5" w:rsidRDefault="00110AA5">
      <w:pPr>
        <w:pStyle w:val="ListParagraph"/>
        <w:numPr>
          <w:ilvl w:val="0"/>
          <w:numId w:val="3"/>
        </w:numPr>
      </w:pPr>
      <w:r w:rsidRPr="00110AA5">
        <w:t>Ability to think quickly</w:t>
      </w:r>
    </w:p>
    <w:p w14:paraId="0D8F6035" w14:textId="77777777" w:rsidR="00110AA5" w:rsidRPr="00110AA5" w:rsidRDefault="00110AA5">
      <w:pPr>
        <w:pStyle w:val="ListParagraph"/>
        <w:numPr>
          <w:ilvl w:val="0"/>
          <w:numId w:val="3"/>
        </w:numPr>
      </w:pPr>
      <w:r w:rsidRPr="00110AA5">
        <w:t>Ability to work under pressure</w:t>
      </w:r>
    </w:p>
    <w:sectPr w:rsidR="00110AA5" w:rsidRPr="00110A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3DCE" w14:textId="77777777" w:rsidR="008950BA" w:rsidRDefault="008950BA" w:rsidP="00E9783C">
      <w:pPr>
        <w:spacing w:after="0" w:line="240" w:lineRule="auto"/>
      </w:pPr>
      <w:r>
        <w:separator/>
      </w:r>
    </w:p>
  </w:endnote>
  <w:endnote w:type="continuationSeparator" w:id="0">
    <w:p w14:paraId="07DFEA74" w14:textId="77777777" w:rsidR="008950BA" w:rsidRDefault="008950BA" w:rsidP="00E9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D99F" w14:textId="77777777" w:rsidR="008950BA" w:rsidRDefault="008950BA" w:rsidP="00E9783C">
      <w:pPr>
        <w:spacing w:after="0" w:line="240" w:lineRule="auto"/>
      </w:pPr>
      <w:r>
        <w:separator/>
      </w:r>
    </w:p>
  </w:footnote>
  <w:footnote w:type="continuationSeparator" w:id="0">
    <w:p w14:paraId="4025851F" w14:textId="77777777" w:rsidR="008950BA" w:rsidRDefault="008950BA" w:rsidP="00E9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96E9" w14:textId="13C374E4" w:rsidR="00E9783C" w:rsidRDefault="00E978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C68133D" wp14:editId="3058514C">
          <wp:simplePos x="0" y="0"/>
          <wp:positionH relativeFrom="column">
            <wp:posOffset>-617220</wp:posOffset>
          </wp:positionH>
          <wp:positionV relativeFrom="paragraph">
            <wp:posOffset>-327660</wp:posOffset>
          </wp:positionV>
          <wp:extent cx="1800225" cy="771525"/>
          <wp:effectExtent l="0" t="0" r="9525" b="9525"/>
          <wp:wrapTight wrapText="bothSides">
            <wp:wrapPolygon edited="0">
              <wp:start x="2971" y="0"/>
              <wp:lineTo x="1600" y="1600"/>
              <wp:lineTo x="0" y="5867"/>
              <wp:lineTo x="0" y="13867"/>
              <wp:lineTo x="457" y="17600"/>
              <wp:lineTo x="2743" y="21333"/>
              <wp:lineTo x="2971" y="21333"/>
              <wp:lineTo x="6400" y="21333"/>
              <wp:lineTo x="12800" y="21333"/>
              <wp:lineTo x="18057" y="19200"/>
              <wp:lineTo x="17600" y="17067"/>
              <wp:lineTo x="19886" y="17067"/>
              <wp:lineTo x="21486" y="13333"/>
              <wp:lineTo x="21486" y="3200"/>
              <wp:lineTo x="19200" y="1600"/>
              <wp:lineTo x="6400" y="0"/>
              <wp:lineTo x="2971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79B"/>
    <w:multiLevelType w:val="multilevel"/>
    <w:tmpl w:val="B4AC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1B7C77"/>
    <w:multiLevelType w:val="hybridMultilevel"/>
    <w:tmpl w:val="7FD48C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C63E8F"/>
    <w:multiLevelType w:val="hybridMultilevel"/>
    <w:tmpl w:val="5A9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E5EB1"/>
    <w:multiLevelType w:val="multilevel"/>
    <w:tmpl w:val="B4ACAD1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7E"/>
    <w:rsid w:val="00016741"/>
    <w:rsid w:val="000351A5"/>
    <w:rsid w:val="00043EA6"/>
    <w:rsid w:val="000623E6"/>
    <w:rsid w:val="000942BB"/>
    <w:rsid w:val="000D3709"/>
    <w:rsid w:val="000D6E65"/>
    <w:rsid w:val="000E07BA"/>
    <w:rsid w:val="000E5FF3"/>
    <w:rsid w:val="00110AA5"/>
    <w:rsid w:val="00117D7E"/>
    <w:rsid w:val="00146193"/>
    <w:rsid w:val="00165F25"/>
    <w:rsid w:val="00171C29"/>
    <w:rsid w:val="00215F2D"/>
    <w:rsid w:val="00224424"/>
    <w:rsid w:val="00240AAA"/>
    <w:rsid w:val="00243157"/>
    <w:rsid w:val="00254BA7"/>
    <w:rsid w:val="00281AAA"/>
    <w:rsid w:val="00283CE3"/>
    <w:rsid w:val="00287149"/>
    <w:rsid w:val="002A7BAB"/>
    <w:rsid w:val="002C7D71"/>
    <w:rsid w:val="002E2676"/>
    <w:rsid w:val="00304562"/>
    <w:rsid w:val="003070A3"/>
    <w:rsid w:val="00331844"/>
    <w:rsid w:val="003574CF"/>
    <w:rsid w:val="00370495"/>
    <w:rsid w:val="00371DF4"/>
    <w:rsid w:val="003855CE"/>
    <w:rsid w:val="00392764"/>
    <w:rsid w:val="003B60E3"/>
    <w:rsid w:val="003F261F"/>
    <w:rsid w:val="00420E1D"/>
    <w:rsid w:val="00440D2E"/>
    <w:rsid w:val="00441648"/>
    <w:rsid w:val="00442479"/>
    <w:rsid w:val="00446236"/>
    <w:rsid w:val="0045237D"/>
    <w:rsid w:val="00462B21"/>
    <w:rsid w:val="00475D72"/>
    <w:rsid w:val="00485E7B"/>
    <w:rsid w:val="004A7204"/>
    <w:rsid w:val="004B168D"/>
    <w:rsid w:val="004B3CA8"/>
    <w:rsid w:val="00501437"/>
    <w:rsid w:val="00507486"/>
    <w:rsid w:val="005119AA"/>
    <w:rsid w:val="00524776"/>
    <w:rsid w:val="00536511"/>
    <w:rsid w:val="00542A7B"/>
    <w:rsid w:val="00551C60"/>
    <w:rsid w:val="00572D16"/>
    <w:rsid w:val="005742F2"/>
    <w:rsid w:val="005E2DA7"/>
    <w:rsid w:val="005E705B"/>
    <w:rsid w:val="005F395A"/>
    <w:rsid w:val="00620AE4"/>
    <w:rsid w:val="00625AB2"/>
    <w:rsid w:val="00630ACF"/>
    <w:rsid w:val="006407BF"/>
    <w:rsid w:val="00687F3E"/>
    <w:rsid w:val="006B5A1E"/>
    <w:rsid w:val="006C7810"/>
    <w:rsid w:val="006D2113"/>
    <w:rsid w:val="006F67C1"/>
    <w:rsid w:val="00703113"/>
    <w:rsid w:val="00736E42"/>
    <w:rsid w:val="00742AC6"/>
    <w:rsid w:val="00742C10"/>
    <w:rsid w:val="00775A90"/>
    <w:rsid w:val="00795418"/>
    <w:rsid w:val="007A16C6"/>
    <w:rsid w:val="007A1D7E"/>
    <w:rsid w:val="007A49C0"/>
    <w:rsid w:val="007A5CD1"/>
    <w:rsid w:val="007B2D16"/>
    <w:rsid w:val="007B325D"/>
    <w:rsid w:val="007C61E5"/>
    <w:rsid w:val="007E19CD"/>
    <w:rsid w:val="00804046"/>
    <w:rsid w:val="00814BBF"/>
    <w:rsid w:val="00823D06"/>
    <w:rsid w:val="00853B49"/>
    <w:rsid w:val="008676F7"/>
    <w:rsid w:val="00885CDA"/>
    <w:rsid w:val="00894023"/>
    <w:rsid w:val="008950BA"/>
    <w:rsid w:val="0089539A"/>
    <w:rsid w:val="008A0719"/>
    <w:rsid w:val="008D717F"/>
    <w:rsid w:val="00911308"/>
    <w:rsid w:val="0094148D"/>
    <w:rsid w:val="00972876"/>
    <w:rsid w:val="009A02A6"/>
    <w:rsid w:val="009B100C"/>
    <w:rsid w:val="009B709D"/>
    <w:rsid w:val="009C6BB8"/>
    <w:rsid w:val="009D57F3"/>
    <w:rsid w:val="00A31580"/>
    <w:rsid w:val="00A45087"/>
    <w:rsid w:val="00A5634B"/>
    <w:rsid w:val="00A655D2"/>
    <w:rsid w:val="00A7040E"/>
    <w:rsid w:val="00A86DE8"/>
    <w:rsid w:val="00AA2DC9"/>
    <w:rsid w:val="00AB6A6F"/>
    <w:rsid w:val="00AC542F"/>
    <w:rsid w:val="00AC7F91"/>
    <w:rsid w:val="00AD2C92"/>
    <w:rsid w:val="00AF7430"/>
    <w:rsid w:val="00B01B27"/>
    <w:rsid w:val="00B17CA3"/>
    <w:rsid w:val="00B31D08"/>
    <w:rsid w:val="00B4164C"/>
    <w:rsid w:val="00B45601"/>
    <w:rsid w:val="00BB4547"/>
    <w:rsid w:val="00BE1914"/>
    <w:rsid w:val="00BE41BB"/>
    <w:rsid w:val="00BF610E"/>
    <w:rsid w:val="00C070B7"/>
    <w:rsid w:val="00C41E2C"/>
    <w:rsid w:val="00C43A48"/>
    <w:rsid w:val="00C4515D"/>
    <w:rsid w:val="00C61E42"/>
    <w:rsid w:val="00C67F6E"/>
    <w:rsid w:val="00C86FA3"/>
    <w:rsid w:val="00C9092D"/>
    <w:rsid w:val="00C96AE4"/>
    <w:rsid w:val="00CA780B"/>
    <w:rsid w:val="00CC66F8"/>
    <w:rsid w:val="00CD29CD"/>
    <w:rsid w:val="00CD2E62"/>
    <w:rsid w:val="00CE745B"/>
    <w:rsid w:val="00CF1132"/>
    <w:rsid w:val="00D027D2"/>
    <w:rsid w:val="00D15ADD"/>
    <w:rsid w:val="00D25911"/>
    <w:rsid w:val="00D26BCD"/>
    <w:rsid w:val="00D365FF"/>
    <w:rsid w:val="00D36E1E"/>
    <w:rsid w:val="00D44356"/>
    <w:rsid w:val="00D50AF6"/>
    <w:rsid w:val="00D55E4E"/>
    <w:rsid w:val="00D633A2"/>
    <w:rsid w:val="00DA0504"/>
    <w:rsid w:val="00DC3C50"/>
    <w:rsid w:val="00E05EE0"/>
    <w:rsid w:val="00E527AC"/>
    <w:rsid w:val="00E712CE"/>
    <w:rsid w:val="00E7758E"/>
    <w:rsid w:val="00E9783C"/>
    <w:rsid w:val="00EA07F1"/>
    <w:rsid w:val="00EA6CCA"/>
    <w:rsid w:val="00ED6A57"/>
    <w:rsid w:val="00EF2137"/>
    <w:rsid w:val="00F10650"/>
    <w:rsid w:val="00F126C3"/>
    <w:rsid w:val="00F22E5C"/>
    <w:rsid w:val="00F3655D"/>
    <w:rsid w:val="00F3671B"/>
    <w:rsid w:val="00F4641E"/>
    <w:rsid w:val="00F8696F"/>
    <w:rsid w:val="00F918B1"/>
    <w:rsid w:val="00F924EF"/>
    <w:rsid w:val="00FC2B52"/>
    <w:rsid w:val="00FC5897"/>
    <w:rsid w:val="00FC61D2"/>
    <w:rsid w:val="00FC707C"/>
    <w:rsid w:val="00FD0B0C"/>
    <w:rsid w:val="00FE2BB3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A46"/>
  <w15:chartTrackingRefBased/>
  <w15:docId w15:val="{30FCA209-3164-44D7-80BF-BA79252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C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57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Default">
    <w:name w:val="Default"/>
    <w:rsid w:val="009D5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8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B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5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C"/>
  </w:style>
  <w:style w:type="paragraph" w:styleId="Footer">
    <w:name w:val="footer"/>
    <w:basedOn w:val="Normal"/>
    <w:link w:val="FooterChar"/>
    <w:uiPriority w:val="99"/>
    <w:unhideWhenUsed/>
    <w:rsid w:val="00E9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C"/>
  </w:style>
  <w:style w:type="paragraph" w:styleId="NoSpacing">
    <w:name w:val="No Spacing"/>
    <w:uiPriority w:val="1"/>
    <w:qFormat/>
    <w:rsid w:val="00171C2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16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6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5C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CurrentList1">
    <w:name w:val="Current List1"/>
    <w:uiPriority w:val="99"/>
    <w:rsid w:val="009B709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</dc:creator>
  <cp:keywords/>
  <dc:description/>
  <cp:lastModifiedBy>pmlivelihood.lb@secours-islamique.org</cp:lastModifiedBy>
  <cp:revision>2</cp:revision>
  <dcterms:created xsi:type="dcterms:W3CDTF">2024-02-07T07:08:00Z</dcterms:created>
  <dcterms:modified xsi:type="dcterms:W3CDTF">2024-02-07T07:08:00Z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9fda3703c496f395672092d0cdc195c3ec799983cf12f3d6d1e55fd7477f5a28</vt:lpwstr>
  </property>
</Properties>
</file>