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494"/>
      </w:tblGrid>
      <w:tr w:rsidR="0083346C" w14:paraId="5C7D7E09" w14:textId="77777777" w:rsidTr="00C07228">
        <w:tc>
          <w:tcPr>
            <w:tcW w:w="9010" w:type="dxa"/>
            <w:shd w:val="clear" w:color="auto" w:fill="BDD6EE" w:themeFill="accent1" w:themeFillTint="66"/>
          </w:tcPr>
          <w:p w14:paraId="41CD30B0" w14:textId="07C518F7" w:rsidR="0083346C" w:rsidRPr="00B8540C" w:rsidRDefault="0083346C" w:rsidP="0007791B">
            <w:pPr>
              <w:spacing w:before="100" w:line="276" w:lineRule="auto"/>
              <w:rPr>
                <w:sz w:val="22"/>
                <w:highlight w:val="yellow"/>
              </w:rPr>
            </w:pPr>
            <w:r w:rsidRPr="00B8540C">
              <w:rPr>
                <w:sz w:val="22"/>
              </w:rPr>
              <w:t xml:space="preserve">Name and address of the contracting authority: </w:t>
            </w:r>
            <w:r w:rsidR="0007791B" w:rsidRPr="00BE74D9">
              <w:rPr>
                <w:b/>
                <w:sz w:val="22"/>
              </w:rPr>
              <w:t>Ren</w:t>
            </w:r>
            <w:r w:rsidR="004E7613" w:rsidRPr="00BE74D9">
              <w:rPr>
                <w:b/>
                <w:sz w:val="22"/>
              </w:rPr>
              <w:t>é</w:t>
            </w:r>
            <w:r w:rsidR="0007791B" w:rsidRPr="00BE74D9">
              <w:rPr>
                <w:b/>
                <w:sz w:val="22"/>
              </w:rPr>
              <w:t xml:space="preserve"> Moawad Foundation</w:t>
            </w:r>
          </w:p>
          <w:p w14:paraId="77D1B337" w14:textId="2DB228D6" w:rsidR="0083346C" w:rsidRPr="00BE74D9" w:rsidRDefault="0083346C" w:rsidP="00BE74D9">
            <w:pPr>
              <w:rPr>
                <w:lang w:val="ca-ES"/>
              </w:rPr>
            </w:pPr>
            <w:r w:rsidRPr="00EB4C91">
              <w:rPr>
                <w:sz w:val="22"/>
                <w:lang w:val="fr-FR"/>
              </w:rPr>
              <w:t xml:space="preserve">Contact person: </w:t>
            </w:r>
            <w:r w:rsidR="0007791B" w:rsidRPr="00EB4C91">
              <w:rPr>
                <w:sz w:val="22"/>
                <w:lang w:val="fr-FR"/>
              </w:rPr>
              <w:t>Carla Hammoud</w:t>
            </w:r>
            <w:r w:rsidR="00BE74D9" w:rsidRPr="00EB4C91">
              <w:rPr>
                <w:sz w:val="22"/>
                <w:lang w:val="fr-FR"/>
              </w:rPr>
              <w:t xml:space="preserve"> (email: </w:t>
            </w:r>
            <w:hyperlink r:id="rId7" w:tgtFrame="_blank" w:history="1">
              <w:r w:rsidR="00BE74D9" w:rsidRPr="00EB4C91">
                <w:rPr>
                  <w:sz w:val="22"/>
                  <w:lang w:val="fr-FR"/>
                </w:rPr>
                <w:t>chammoud@rmf.org.lb</w:t>
              </w:r>
            </w:hyperlink>
            <w:r w:rsidR="00BE74D9" w:rsidRPr="00EB4C91">
              <w:rPr>
                <w:sz w:val="22"/>
                <w:lang w:val="fr-FR"/>
              </w:rPr>
              <w:t>) (tel.: +961 1 613 367/8/9)</w:t>
            </w:r>
          </w:p>
          <w:p w14:paraId="42D538AB" w14:textId="0611E3F4" w:rsidR="0083346C" w:rsidRPr="00B8540C" w:rsidRDefault="0083346C" w:rsidP="0007791B">
            <w:pPr>
              <w:spacing w:line="276" w:lineRule="auto"/>
              <w:rPr>
                <w:sz w:val="22"/>
              </w:rPr>
            </w:pPr>
            <w:r w:rsidRPr="00B8540C">
              <w:rPr>
                <w:sz w:val="22"/>
              </w:rPr>
              <w:t xml:space="preserve">Title of the tender: </w:t>
            </w:r>
            <w:r w:rsidRPr="003C5C76">
              <w:rPr>
                <w:b/>
                <w:color w:val="000000" w:themeColor="text1"/>
                <w:sz w:val="22"/>
              </w:rPr>
              <w:t>Study and analysis of adventure tourism in</w:t>
            </w:r>
            <w:r w:rsidR="003C5C76" w:rsidRPr="003C5C76">
              <w:rPr>
                <w:b/>
                <w:color w:val="000000" w:themeColor="text1"/>
                <w:sz w:val="22"/>
              </w:rPr>
              <w:t xml:space="preserve"> </w:t>
            </w:r>
            <w:r w:rsidR="0007791B" w:rsidRPr="003C5C76">
              <w:rPr>
                <w:b/>
                <w:color w:val="000000" w:themeColor="text1"/>
                <w:sz w:val="22"/>
              </w:rPr>
              <w:t>Lebanon</w:t>
            </w:r>
            <w:r w:rsidRPr="003C5C76">
              <w:rPr>
                <w:b/>
                <w:color w:val="000000" w:themeColor="text1"/>
                <w:sz w:val="22"/>
              </w:rPr>
              <w:t xml:space="preserve"> </w:t>
            </w:r>
          </w:p>
          <w:p w14:paraId="08EBE359" w14:textId="7D3BB9BA" w:rsidR="0083346C" w:rsidRPr="00B8540C" w:rsidRDefault="0083346C" w:rsidP="00C07228">
            <w:pPr>
              <w:spacing w:after="100" w:line="276" w:lineRule="auto"/>
              <w:rPr>
                <w:sz w:val="22"/>
              </w:rPr>
            </w:pPr>
            <w:r w:rsidRPr="00B8540C">
              <w:rPr>
                <w:sz w:val="22"/>
              </w:rPr>
              <w:t xml:space="preserve">Reference number: </w:t>
            </w:r>
            <w:r w:rsidR="0007791B">
              <w:rPr>
                <w:sz w:val="22"/>
              </w:rPr>
              <w:t>MEDU-T-001</w:t>
            </w:r>
          </w:p>
        </w:tc>
      </w:tr>
    </w:tbl>
    <w:p w14:paraId="5558FBA8" w14:textId="77777777" w:rsidR="0083346C" w:rsidRPr="00B8540C" w:rsidRDefault="0083346C" w:rsidP="0083346C">
      <w:pPr>
        <w:spacing w:line="276" w:lineRule="auto"/>
        <w:rPr>
          <w:sz w:val="10"/>
        </w:rPr>
      </w:pPr>
    </w:p>
    <w:tbl>
      <w:tblPr>
        <w:tblStyle w:val="TableGrid"/>
        <w:tblW w:w="0" w:type="auto"/>
        <w:tblLook w:val="04A0" w:firstRow="1" w:lastRow="0" w:firstColumn="1" w:lastColumn="0" w:noHBand="0" w:noVBand="1"/>
      </w:tblPr>
      <w:tblGrid>
        <w:gridCol w:w="8494"/>
      </w:tblGrid>
      <w:tr w:rsidR="0083346C" w14:paraId="15D7E025" w14:textId="77777777" w:rsidTr="00C07228">
        <w:tc>
          <w:tcPr>
            <w:tcW w:w="9010" w:type="dxa"/>
            <w:shd w:val="clear" w:color="auto" w:fill="BDD6EE" w:themeFill="accent1" w:themeFillTint="66"/>
          </w:tcPr>
          <w:p w14:paraId="51BB3472" w14:textId="77777777" w:rsidR="0083346C" w:rsidRDefault="0083346C" w:rsidP="00C07228">
            <w:pPr>
              <w:spacing w:before="100" w:after="100" w:line="276" w:lineRule="auto"/>
              <w:rPr>
                <w:b/>
              </w:rPr>
            </w:pPr>
            <w:r w:rsidRPr="00FA4CAF">
              <w:rPr>
                <w:b/>
              </w:rPr>
              <w:t>PART A: INFORMATION FOR THE TENDERER</w:t>
            </w:r>
          </w:p>
        </w:tc>
      </w:tr>
    </w:tbl>
    <w:p w14:paraId="424806BF" w14:textId="77777777" w:rsidR="0083346C" w:rsidRDefault="0083346C" w:rsidP="0083346C">
      <w:pPr>
        <w:rPr>
          <w:b/>
        </w:rPr>
      </w:pPr>
    </w:p>
    <w:p w14:paraId="05E759A3" w14:textId="3B6C3B4C" w:rsidR="00EA2287" w:rsidRPr="00FF78D9" w:rsidRDefault="0083346C" w:rsidP="0083346C">
      <w:pPr>
        <w:pStyle w:val="ListParagraph"/>
        <w:numPr>
          <w:ilvl w:val="0"/>
          <w:numId w:val="10"/>
        </w:numPr>
      </w:pPr>
      <w:r w:rsidRPr="0083346C">
        <w:rPr>
          <w:b/>
        </w:rPr>
        <w:t>INFORMATION ON SUBMISSION OF TENDERS</w:t>
      </w:r>
    </w:p>
    <w:p w14:paraId="5B4B8329" w14:textId="77777777" w:rsidR="00FF78D9" w:rsidRDefault="00FF78D9" w:rsidP="00FF78D9">
      <w:pPr>
        <w:spacing w:after="100" w:line="276" w:lineRule="auto"/>
        <w:rPr>
          <w:u w:val="single"/>
        </w:rPr>
      </w:pPr>
    </w:p>
    <w:p w14:paraId="3AACEBAE" w14:textId="7F2F7940" w:rsidR="00FF78D9" w:rsidRPr="00B8540C" w:rsidRDefault="00FF78D9" w:rsidP="00FF78D9">
      <w:pPr>
        <w:spacing w:after="100" w:line="276" w:lineRule="auto"/>
        <w:jc w:val="both"/>
        <w:rPr>
          <w:u w:val="single"/>
        </w:rPr>
      </w:pPr>
      <w:r w:rsidRPr="00B8540C">
        <w:rPr>
          <w:u w:val="single"/>
        </w:rPr>
        <w:t>Subject of the contract:</w:t>
      </w:r>
    </w:p>
    <w:p w14:paraId="16DA3892" w14:textId="7AF39FEC" w:rsidR="00FF78D9" w:rsidRPr="00B8540C" w:rsidRDefault="00FF78D9" w:rsidP="00FF78D9">
      <w:pPr>
        <w:spacing w:line="276" w:lineRule="auto"/>
        <w:jc w:val="both"/>
      </w:pPr>
      <w:r w:rsidRPr="00B8540C">
        <w:t>The subject of this tender is:</w:t>
      </w:r>
    </w:p>
    <w:p w14:paraId="4CB90205" w14:textId="77777777" w:rsidR="00FF78D9" w:rsidRPr="00FF78D9" w:rsidRDefault="00FF78D9" w:rsidP="00FF78D9">
      <w:pPr>
        <w:pStyle w:val="ListParagraph"/>
        <w:numPr>
          <w:ilvl w:val="0"/>
          <w:numId w:val="11"/>
        </w:numPr>
        <w:spacing w:after="200" w:line="276" w:lineRule="auto"/>
        <w:ind w:left="426" w:hanging="284"/>
        <w:jc w:val="both"/>
        <w:rPr>
          <w:sz w:val="22"/>
        </w:rPr>
      </w:pPr>
      <w:r w:rsidRPr="00FF78D9">
        <w:rPr>
          <w:sz w:val="22"/>
        </w:rPr>
        <w:t xml:space="preserve">Provision of </w:t>
      </w:r>
      <w:r w:rsidRPr="00FF78D9">
        <w:rPr>
          <w:b/>
          <w:sz w:val="22"/>
        </w:rPr>
        <w:t>services</w:t>
      </w:r>
      <w:r w:rsidRPr="00FF78D9">
        <w:rPr>
          <w:sz w:val="22"/>
        </w:rPr>
        <w:t>, as indicated in the technical information in point 2 of this section</w:t>
      </w:r>
    </w:p>
    <w:p w14:paraId="21EAE460" w14:textId="77777777" w:rsidR="00FF78D9" w:rsidRPr="00B8540C" w:rsidRDefault="00FF78D9" w:rsidP="00FF78D9">
      <w:pPr>
        <w:spacing w:after="100" w:line="276" w:lineRule="auto"/>
        <w:jc w:val="both"/>
        <w:rPr>
          <w:u w:val="single"/>
        </w:rPr>
      </w:pPr>
      <w:r w:rsidRPr="00B8540C">
        <w:rPr>
          <w:u w:val="single"/>
        </w:rPr>
        <w:t>Deadline for submission of the tenders:</w:t>
      </w:r>
    </w:p>
    <w:p w14:paraId="4B47F55D" w14:textId="28BBE7E0" w:rsidR="00FF78D9" w:rsidRPr="00B8540C" w:rsidRDefault="00FF78D9" w:rsidP="00FF78D9">
      <w:pPr>
        <w:spacing w:line="276" w:lineRule="auto"/>
        <w:jc w:val="both"/>
      </w:pPr>
      <w:r w:rsidRPr="00B8540C">
        <w:t xml:space="preserve">The deadline for submission of tenders is </w:t>
      </w:r>
      <w:r w:rsidRPr="003C5C76">
        <w:rPr>
          <w:b/>
          <w:color w:val="000000" w:themeColor="text1"/>
        </w:rPr>
        <w:t>13, December, 2019 until 17:00h</w:t>
      </w:r>
      <w:r w:rsidRPr="00B8540C">
        <w:t>. Any tender received after this deadline will be automatically rejected.</w:t>
      </w:r>
    </w:p>
    <w:p w14:paraId="229CDD5C" w14:textId="77777777" w:rsidR="00FF78D9" w:rsidRPr="00B8540C" w:rsidRDefault="00FF78D9" w:rsidP="00FF78D9">
      <w:pPr>
        <w:spacing w:after="100" w:line="276" w:lineRule="auto"/>
        <w:jc w:val="both"/>
        <w:rPr>
          <w:u w:val="single"/>
        </w:rPr>
      </w:pPr>
      <w:r w:rsidRPr="00B8540C">
        <w:rPr>
          <w:u w:val="single"/>
        </w:rPr>
        <w:t>Address and means of submission of the tenders:</w:t>
      </w:r>
    </w:p>
    <w:p w14:paraId="76E4CD76" w14:textId="4BBB3D7D" w:rsidR="00FF78D9" w:rsidRPr="00B8540C" w:rsidRDefault="00FF78D9" w:rsidP="00FF78D9">
      <w:pPr>
        <w:spacing w:line="276" w:lineRule="auto"/>
        <w:jc w:val="both"/>
      </w:pPr>
      <w:r w:rsidRPr="00B8540C">
        <w:t xml:space="preserve">The tenderers will submit their tenders using the </w:t>
      </w:r>
      <w:r w:rsidRPr="00B8540C">
        <w:rPr>
          <w:b/>
        </w:rPr>
        <w:t>standard submission form available in Part B of this tender dossier</w:t>
      </w:r>
      <w:r w:rsidRPr="00B8540C">
        <w:t>. The tender will be submitted in 1 (one) original. In case of e-mail submission, the tenderer may provide a scanned original. A</w:t>
      </w:r>
      <w:r>
        <w:t>n</w:t>
      </w:r>
      <w:r w:rsidRPr="00B8540C">
        <w:t>y tenders not using the prescribed form shall be rejected by the contracting authority.</w:t>
      </w:r>
    </w:p>
    <w:p w14:paraId="42AB2D2A" w14:textId="77777777" w:rsidR="00FF78D9" w:rsidRPr="00B8540C" w:rsidRDefault="00FF78D9" w:rsidP="00FF78D9">
      <w:pPr>
        <w:spacing w:after="100" w:line="276" w:lineRule="auto"/>
        <w:jc w:val="both"/>
      </w:pPr>
      <w:r w:rsidRPr="00B8540C">
        <w:rPr>
          <w:b/>
        </w:rPr>
        <w:t>If delivery by post or courier</w:t>
      </w:r>
      <w:r w:rsidRPr="00B8540C">
        <w:t xml:space="preserve">, the tenders will be submitted in two separate envelopes: </w:t>
      </w:r>
    </w:p>
    <w:p w14:paraId="3BF0837E" w14:textId="77777777" w:rsidR="00FF78D9" w:rsidRPr="00B8540C" w:rsidRDefault="00FF78D9" w:rsidP="00FF78D9">
      <w:pPr>
        <w:pStyle w:val="ListParagraph"/>
        <w:numPr>
          <w:ilvl w:val="0"/>
          <w:numId w:val="12"/>
        </w:numPr>
        <w:spacing w:after="200" w:line="276" w:lineRule="auto"/>
        <w:jc w:val="both"/>
        <w:rPr>
          <w:sz w:val="22"/>
        </w:rPr>
      </w:pPr>
      <w:r w:rsidRPr="00B8540C">
        <w:rPr>
          <w:b/>
          <w:sz w:val="22"/>
        </w:rPr>
        <w:t>envelope</w:t>
      </w:r>
      <w:r w:rsidRPr="00B8540C">
        <w:rPr>
          <w:sz w:val="22"/>
        </w:rPr>
        <w:t xml:space="preserve"> </w:t>
      </w:r>
      <w:r w:rsidRPr="00B8540C">
        <w:rPr>
          <w:b/>
          <w:sz w:val="22"/>
        </w:rPr>
        <w:t>one</w:t>
      </w:r>
      <w:r w:rsidRPr="00B8540C">
        <w:rPr>
          <w:sz w:val="22"/>
        </w:rPr>
        <w:t xml:space="preserve"> for the tenderer’s information, the tenderer’s statement and the technical offer and </w:t>
      </w:r>
    </w:p>
    <w:p w14:paraId="14F14D72" w14:textId="77777777" w:rsidR="00FF78D9" w:rsidRPr="00B8540C" w:rsidRDefault="00FF78D9" w:rsidP="00FF78D9">
      <w:pPr>
        <w:pStyle w:val="ListParagraph"/>
        <w:numPr>
          <w:ilvl w:val="0"/>
          <w:numId w:val="12"/>
        </w:numPr>
        <w:spacing w:after="200" w:line="276" w:lineRule="auto"/>
        <w:jc w:val="both"/>
        <w:rPr>
          <w:sz w:val="22"/>
        </w:rPr>
      </w:pPr>
      <w:r w:rsidRPr="00B8540C">
        <w:rPr>
          <w:b/>
          <w:sz w:val="22"/>
        </w:rPr>
        <w:t>envelop two</w:t>
      </w:r>
      <w:r w:rsidRPr="00B8540C">
        <w:rPr>
          <w:sz w:val="22"/>
        </w:rPr>
        <w:t xml:space="preserve"> for the financial information. </w:t>
      </w:r>
    </w:p>
    <w:p w14:paraId="0834CBA2" w14:textId="7762B5F1" w:rsidR="00FF78D9" w:rsidRPr="00B8540C" w:rsidRDefault="00FF78D9" w:rsidP="00FF78D9">
      <w:pPr>
        <w:spacing w:after="100" w:line="276" w:lineRule="auto"/>
        <w:jc w:val="both"/>
      </w:pPr>
      <w:r w:rsidRPr="00B8540C">
        <w:t>An envelop</w:t>
      </w:r>
      <w:r w:rsidR="003C5C76">
        <w:t>e</w:t>
      </w:r>
      <w:r w:rsidRPr="00B8540C">
        <w:t xml:space="preserve"> including both envelopes will contain the following information at the external part:</w:t>
      </w:r>
    </w:p>
    <w:p w14:paraId="6C74C8AF" w14:textId="77777777" w:rsidR="00FF78D9" w:rsidRPr="00B8540C" w:rsidRDefault="00FF78D9" w:rsidP="00FF78D9">
      <w:pPr>
        <w:spacing w:after="0" w:line="276" w:lineRule="auto"/>
        <w:jc w:val="both"/>
      </w:pPr>
      <w:r w:rsidRPr="00B8540C">
        <w:t>Name and address of the contracting authority</w:t>
      </w:r>
    </w:p>
    <w:p w14:paraId="5743E2AD" w14:textId="77777777" w:rsidR="00FF78D9" w:rsidRPr="00B8540C" w:rsidRDefault="00FF78D9" w:rsidP="00FF78D9">
      <w:pPr>
        <w:spacing w:after="0" w:line="276" w:lineRule="auto"/>
        <w:jc w:val="both"/>
      </w:pPr>
      <w:r w:rsidRPr="00B8540C">
        <w:t>Contact person</w:t>
      </w:r>
    </w:p>
    <w:p w14:paraId="625BDF7C" w14:textId="77777777" w:rsidR="00FF78D9" w:rsidRPr="00B8540C" w:rsidRDefault="00FF78D9" w:rsidP="00FF78D9">
      <w:pPr>
        <w:spacing w:after="0" w:line="276" w:lineRule="auto"/>
        <w:jc w:val="both"/>
      </w:pPr>
      <w:r w:rsidRPr="00B8540C">
        <w:t>Title of the tender</w:t>
      </w:r>
    </w:p>
    <w:p w14:paraId="799993AD" w14:textId="77777777" w:rsidR="00FF78D9" w:rsidRPr="00B8540C" w:rsidRDefault="00FF78D9" w:rsidP="00FF78D9">
      <w:pPr>
        <w:spacing w:line="276" w:lineRule="auto"/>
        <w:jc w:val="both"/>
      </w:pPr>
      <w:r w:rsidRPr="00B8540C">
        <w:t>Reference number</w:t>
      </w:r>
    </w:p>
    <w:p w14:paraId="13C348D0" w14:textId="77777777" w:rsidR="00FF78D9" w:rsidRPr="00B8540C" w:rsidRDefault="00FF78D9" w:rsidP="00FF78D9">
      <w:pPr>
        <w:spacing w:line="276" w:lineRule="auto"/>
        <w:jc w:val="both"/>
      </w:pPr>
      <w:r w:rsidRPr="00B8540C">
        <w:t>Name and address of the tenderer</w:t>
      </w:r>
    </w:p>
    <w:p w14:paraId="45CD1BDE" w14:textId="77777777" w:rsidR="00FF78D9" w:rsidRPr="00B8540C" w:rsidRDefault="00FF78D9" w:rsidP="00FF78D9">
      <w:pPr>
        <w:spacing w:line="276" w:lineRule="auto"/>
        <w:jc w:val="both"/>
      </w:pPr>
      <w:r w:rsidRPr="00B8540C">
        <w:rPr>
          <w:b/>
        </w:rPr>
        <w:t>If delivery by e-mail</w:t>
      </w:r>
      <w:r w:rsidRPr="00B8540C">
        <w:t>, the message will clearly indicate:</w:t>
      </w:r>
    </w:p>
    <w:p w14:paraId="68B2F85A" w14:textId="77777777" w:rsidR="00FF78D9" w:rsidRPr="00B8540C" w:rsidRDefault="00FF78D9" w:rsidP="00FF78D9">
      <w:pPr>
        <w:spacing w:after="0" w:line="276" w:lineRule="auto"/>
        <w:jc w:val="both"/>
      </w:pPr>
      <w:r w:rsidRPr="00B8540C">
        <w:t>Title of the tender</w:t>
      </w:r>
    </w:p>
    <w:p w14:paraId="34EE7355" w14:textId="77777777" w:rsidR="00FF78D9" w:rsidRPr="00B8540C" w:rsidRDefault="00FF78D9" w:rsidP="00FF78D9">
      <w:pPr>
        <w:spacing w:after="0" w:line="276" w:lineRule="auto"/>
        <w:jc w:val="both"/>
      </w:pPr>
      <w:r w:rsidRPr="00B8540C">
        <w:lastRenderedPageBreak/>
        <w:t>Reference number</w:t>
      </w:r>
    </w:p>
    <w:p w14:paraId="3ACB472A" w14:textId="77777777" w:rsidR="00FF78D9" w:rsidRPr="00B8540C" w:rsidRDefault="00FF78D9" w:rsidP="00FF78D9">
      <w:pPr>
        <w:spacing w:line="276" w:lineRule="auto"/>
        <w:jc w:val="both"/>
      </w:pPr>
      <w:r w:rsidRPr="00B8540C">
        <w:t>Name and address of the tenderer</w:t>
      </w:r>
    </w:p>
    <w:p w14:paraId="75A79FDE" w14:textId="0834504C" w:rsidR="00FF78D9" w:rsidRDefault="00FF78D9" w:rsidP="00FF78D9">
      <w:pPr>
        <w:jc w:val="both"/>
      </w:pPr>
      <w:r w:rsidRPr="00B8540C">
        <w:t>The tender submission form and any supporting documentation will be provided as attachment to the e-mail.</w:t>
      </w:r>
    </w:p>
    <w:p w14:paraId="75691ED6" w14:textId="77777777" w:rsidR="00193779" w:rsidRDefault="00193779" w:rsidP="00193779"/>
    <w:p w14:paraId="470F80A5" w14:textId="49DB195F" w:rsidR="00FF78D9" w:rsidRPr="005828D3" w:rsidRDefault="00FF78D9" w:rsidP="00193779">
      <w:pPr>
        <w:pStyle w:val="ListParagraph"/>
        <w:numPr>
          <w:ilvl w:val="0"/>
          <w:numId w:val="10"/>
        </w:numPr>
        <w:rPr>
          <w:b/>
        </w:rPr>
      </w:pPr>
      <w:r>
        <w:rPr>
          <w:b/>
        </w:rPr>
        <w:t>T</w:t>
      </w:r>
      <w:r w:rsidRPr="005828D3">
        <w:rPr>
          <w:b/>
        </w:rPr>
        <w:t>ECHNICAL INFORMATION</w:t>
      </w:r>
    </w:p>
    <w:p w14:paraId="77532458" w14:textId="77777777" w:rsidR="00FF78D9" w:rsidRDefault="00FF78D9" w:rsidP="00FF78D9">
      <w:pPr>
        <w:spacing w:line="276" w:lineRule="auto"/>
      </w:pPr>
    </w:p>
    <w:p w14:paraId="38C7205F" w14:textId="282E0A2E" w:rsidR="00FF78D9" w:rsidRDefault="00FF78D9" w:rsidP="00FF78D9">
      <w:pPr>
        <w:spacing w:line="276" w:lineRule="auto"/>
        <w:jc w:val="both"/>
      </w:pPr>
      <w:r w:rsidRPr="00B8540C">
        <w:t xml:space="preserve">The tenderers are required to provide </w:t>
      </w:r>
      <w:r w:rsidRPr="00FF78D9">
        <w:t>services a</w:t>
      </w:r>
      <w:r w:rsidRPr="00B8540C">
        <w:t>s indicated below. In the technical offer, the tenderers will indicate more details on the deliveries, referring back to the</w:t>
      </w:r>
      <w:r>
        <w:t xml:space="preserve"> below terms of reference: </w:t>
      </w:r>
    </w:p>
    <w:p w14:paraId="4E51AA43" w14:textId="39A9DC35" w:rsidR="00FF78D9" w:rsidRDefault="00FF78D9" w:rsidP="00FF78D9">
      <w:pPr>
        <w:spacing w:after="0" w:line="276" w:lineRule="auto"/>
        <w:rPr>
          <w:b/>
        </w:rPr>
      </w:pPr>
      <w:r>
        <w:rPr>
          <w:b/>
        </w:rPr>
        <w:t>Background information</w:t>
      </w:r>
    </w:p>
    <w:p w14:paraId="33862DD7" w14:textId="77777777" w:rsidR="00FF78D9" w:rsidRPr="003C5C76" w:rsidRDefault="00FF78D9" w:rsidP="00FF78D9">
      <w:pPr>
        <w:jc w:val="both"/>
        <w:rPr>
          <w:color w:val="000000" w:themeColor="text1"/>
          <w:sz w:val="20"/>
        </w:rPr>
      </w:pPr>
      <w:r w:rsidRPr="003C5C76">
        <w:rPr>
          <w:color w:val="000000" w:themeColor="text1"/>
          <w:sz w:val="20"/>
        </w:rPr>
        <w:t>The Mediterranean (MED) region is one of the world’s leading tourist destinations, which makes tourism a key driver for socio-economic progress &amp; a key income source for many of its countries. Faced by growing competition &amp; a deterioration of the political &amp; security situation in the region, the destination has demonstrated symptoms of a slowdown, which makes the recovery of the sector an economic priority. This downturn may also present an opportunity to transform the tourism model into a sustainable &amp; competitive one, addressing current sectorial challenges as the predominance of mass seaside tourism, dependence on the European market &amp; territorial imbalances.</w:t>
      </w:r>
    </w:p>
    <w:p w14:paraId="3D997211" w14:textId="77777777" w:rsidR="00FF78D9" w:rsidRPr="003C5C76" w:rsidRDefault="00FF78D9" w:rsidP="00FF78D9">
      <w:pPr>
        <w:jc w:val="both"/>
        <w:rPr>
          <w:color w:val="000000" w:themeColor="text1"/>
          <w:sz w:val="20"/>
        </w:rPr>
      </w:pPr>
      <w:r w:rsidRPr="003C5C76">
        <w:rPr>
          <w:color w:val="000000" w:themeColor="text1"/>
          <w:sz w:val="20"/>
        </w:rPr>
        <w:t>The hereby proposed initiative (MEDUSA project) is led by a mix of public/private/non-governmental organizations across the region with proven track record in the tourism &amp; business development field. MEDUSA will tackle these joint challenges via targeted &amp; inter-related capacity building &amp; cross-border interventions to develop &amp; promote Adventure Tourism (AT) in the region. Between 2010 &amp; 2014, this tourism niche grew by 195%. The MED has every opportunity to become part of this international trend, which properly managed can make tourism more sustainable, providing a strong incentive for conservation, while creating jobs &amp; more income for local communities. These major expected changes will occur in the medium/long-term. Also, the multiplier effect will be higher in comparison to other forms of tourism. The main results of the project are cross-border routes &amp; itineraries, in the form of new and/or improved AT products, revealing lesser-known destinations &amp; attracting tourists throughout the year. A long-term (LT) strategy is envisaged for the promotion &amp; management of these destinations in a sustainable way with the participation of a wide array of stakeholders. The main beneficiaries are SMEs (Tourism Service Providers, Tour Operators (TOs), Travel Agencies, etc.), public authorities &amp; the communities.</w:t>
      </w:r>
    </w:p>
    <w:p w14:paraId="42B9C24E" w14:textId="77777777" w:rsidR="00FF78D9" w:rsidRPr="003C5C76" w:rsidRDefault="00FF78D9" w:rsidP="00FF78D9">
      <w:pPr>
        <w:jc w:val="both"/>
        <w:rPr>
          <w:color w:val="000000" w:themeColor="text1"/>
          <w:sz w:val="20"/>
        </w:rPr>
      </w:pPr>
      <w:r w:rsidRPr="003C5C76">
        <w:rPr>
          <w:color w:val="000000" w:themeColor="text1"/>
          <w:sz w:val="20"/>
        </w:rPr>
        <w:t xml:space="preserve">MEDUSA project is co-financed by the European Union under the European Neighbourhood Instrument cross-border cooperation program “Mediterranean Sea Basin” 2014-2020 (ENI CBC MED). It started on 1st September 2019 and has a duration of 36 months (until 31st August 2022). It counts on an overall budget of 3,317,314 EUR, which are co-financed at a 90% rate by the ENI CBC Med program. </w:t>
      </w:r>
    </w:p>
    <w:p w14:paraId="6B5FF2CA" w14:textId="77777777" w:rsidR="00FF78D9" w:rsidRPr="003C5C76" w:rsidRDefault="00FF78D9" w:rsidP="00FF78D9">
      <w:pPr>
        <w:jc w:val="both"/>
        <w:rPr>
          <w:color w:val="000000" w:themeColor="text1"/>
          <w:sz w:val="20"/>
        </w:rPr>
      </w:pPr>
      <w:r w:rsidRPr="003C5C76">
        <w:rPr>
          <w:color w:val="000000" w:themeColor="text1"/>
          <w:sz w:val="20"/>
        </w:rPr>
        <w:t xml:space="preserve">It includes the following project partners: </w:t>
      </w:r>
    </w:p>
    <w:p w14:paraId="5AF22206" w14:textId="14887B4B" w:rsidR="00FF78D9" w:rsidRPr="003C5C76" w:rsidRDefault="00FF78D9" w:rsidP="00FF78D9">
      <w:pPr>
        <w:pStyle w:val="ListParagraph"/>
        <w:numPr>
          <w:ilvl w:val="0"/>
          <w:numId w:val="17"/>
        </w:numPr>
        <w:jc w:val="both"/>
        <w:rPr>
          <w:color w:val="000000" w:themeColor="text1"/>
          <w:sz w:val="20"/>
        </w:rPr>
      </w:pPr>
      <w:r w:rsidRPr="003C5C76">
        <w:rPr>
          <w:color w:val="000000" w:themeColor="text1"/>
          <w:sz w:val="20"/>
        </w:rPr>
        <w:t xml:space="preserve">Barcelona Chamber of Commerce (Spain) – </w:t>
      </w:r>
      <w:r w:rsidR="00CD25C6" w:rsidRPr="003C5C76">
        <w:rPr>
          <w:color w:val="000000" w:themeColor="text1"/>
          <w:sz w:val="20"/>
        </w:rPr>
        <w:t>Lead Beneficiary</w:t>
      </w:r>
    </w:p>
    <w:p w14:paraId="161016BA" w14:textId="77777777" w:rsidR="00FF78D9" w:rsidRPr="003C5C76" w:rsidRDefault="00FF78D9" w:rsidP="00FF78D9">
      <w:pPr>
        <w:pStyle w:val="ListParagraph"/>
        <w:numPr>
          <w:ilvl w:val="0"/>
          <w:numId w:val="17"/>
        </w:numPr>
        <w:jc w:val="both"/>
        <w:rPr>
          <w:color w:val="000000" w:themeColor="text1"/>
          <w:sz w:val="20"/>
        </w:rPr>
      </w:pPr>
      <w:r w:rsidRPr="003C5C76">
        <w:rPr>
          <w:color w:val="000000" w:themeColor="text1"/>
          <w:sz w:val="20"/>
        </w:rPr>
        <w:t>Rene Moawad Foundation (Lebanon)</w:t>
      </w:r>
    </w:p>
    <w:p w14:paraId="0244892F" w14:textId="77777777" w:rsidR="00FF78D9" w:rsidRPr="003C5C76" w:rsidRDefault="00FF78D9" w:rsidP="00FF78D9">
      <w:pPr>
        <w:pStyle w:val="ListParagraph"/>
        <w:numPr>
          <w:ilvl w:val="0"/>
          <w:numId w:val="17"/>
        </w:numPr>
        <w:jc w:val="both"/>
        <w:rPr>
          <w:color w:val="000000" w:themeColor="text1"/>
          <w:sz w:val="20"/>
        </w:rPr>
      </w:pPr>
      <w:r w:rsidRPr="003C5C76">
        <w:rPr>
          <w:color w:val="000000" w:themeColor="text1"/>
          <w:sz w:val="20"/>
        </w:rPr>
        <w:t>Association of the Mediterranean Chambers of Commerce and Industry (Spain)</w:t>
      </w:r>
    </w:p>
    <w:p w14:paraId="1A4F789D" w14:textId="77777777" w:rsidR="00FF78D9" w:rsidRPr="003C5C76" w:rsidRDefault="00FF78D9" w:rsidP="00FF78D9">
      <w:pPr>
        <w:pStyle w:val="ListParagraph"/>
        <w:numPr>
          <w:ilvl w:val="0"/>
          <w:numId w:val="17"/>
        </w:numPr>
        <w:jc w:val="both"/>
        <w:rPr>
          <w:color w:val="000000" w:themeColor="text1"/>
          <w:sz w:val="20"/>
        </w:rPr>
      </w:pPr>
      <w:r w:rsidRPr="003C5C76">
        <w:rPr>
          <w:color w:val="000000" w:themeColor="text1"/>
          <w:sz w:val="20"/>
        </w:rPr>
        <w:t>Jordan Inbound Tour Operators Association – JITOA (Jordan)</w:t>
      </w:r>
    </w:p>
    <w:p w14:paraId="75D2DCC7" w14:textId="77777777" w:rsidR="00FF78D9" w:rsidRPr="003C5C76" w:rsidRDefault="00FF78D9" w:rsidP="00FF78D9">
      <w:pPr>
        <w:pStyle w:val="ListParagraph"/>
        <w:numPr>
          <w:ilvl w:val="0"/>
          <w:numId w:val="17"/>
        </w:numPr>
        <w:jc w:val="both"/>
        <w:rPr>
          <w:color w:val="000000" w:themeColor="text1"/>
          <w:sz w:val="20"/>
        </w:rPr>
      </w:pPr>
      <w:r w:rsidRPr="003C5C76">
        <w:rPr>
          <w:color w:val="000000" w:themeColor="text1"/>
          <w:sz w:val="20"/>
        </w:rPr>
        <w:lastRenderedPageBreak/>
        <w:t>Royal Society for the Conservation of Nature – RSCN (Jordan)</w:t>
      </w:r>
    </w:p>
    <w:p w14:paraId="356CA28C" w14:textId="77777777" w:rsidR="00FF78D9" w:rsidRPr="003C5C76" w:rsidRDefault="00FF78D9" w:rsidP="00FF78D9">
      <w:pPr>
        <w:pStyle w:val="ListParagraph"/>
        <w:numPr>
          <w:ilvl w:val="0"/>
          <w:numId w:val="17"/>
        </w:numPr>
        <w:jc w:val="both"/>
        <w:rPr>
          <w:color w:val="000000" w:themeColor="text1"/>
          <w:sz w:val="20"/>
        </w:rPr>
      </w:pPr>
      <w:r w:rsidRPr="003C5C76">
        <w:rPr>
          <w:color w:val="000000" w:themeColor="text1"/>
          <w:sz w:val="20"/>
        </w:rPr>
        <w:t>Puglia Region – Department of tourism, economy of culture and valorization of territory (Italy)</w:t>
      </w:r>
    </w:p>
    <w:p w14:paraId="23A4B033" w14:textId="77777777" w:rsidR="00FF78D9" w:rsidRPr="003C5C76" w:rsidRDefault="00FF78D9" w:rsidP="00FF78D9">
      <w:pPr>
        <w:pStyle w:val="ListParagraph"/>
        <w:numPr>
          <w:ilvl w:val="0"/>
          <w:numId w:val="17"/>
        </w:numPr>
        <w:jc w:val="both"/>
        <w:rPr>
          <w:color w:val="000000" w:themeColor="text1"/>
          <w:sz w:val="20"/>
        </w:rPr>
      </w:pPr>
      <w:r w:rsidRPr="003C5C76">
        <w:rPr>
          <w:color w:val="000000" w:themeColor="text1"/>
          <w:sz w:val="20"/>
        </w:rPr>
        <w:t>WWF Mediterranean North Africa (Tunisia)</w:t>
      </w:r>
    </w:p>
    <w:p w14:paraId="04FF3FA0" w14:textId="77777777" w:rsidR="00FF78D9" w:rsidRPr="003C5C76" w:rsidRDefault="00FF78D9" w:rsidP="00FF78D9">
      <w:pPr>
        <w:spacing w:after="0" w:line="276" w:lineRule="auto"/>
        <w:rPr>
          <w:color w:val="000000" w:themeColor="text1"/>
          <w:sz w:val="20"/>
        </w:rPr>
      </w:pPr>
    </w:p>
    <w:p w14:paraId="4471A842" w14:textId="2546FFBE" w:rsidR="00FF78D9" w:rsidRPr="003C5C76" w:rsidRDefault="00FF78D9" w:rsidP="00FF78D9">
      <w:pPr>
        <w:rPr>
          <w:color w:val="000000" w:themeColor="text1"/>
          <w:sz w:val="20"/>
        </w:rPr>
      </w:pPr>
      <w:r w:rsidRPr="003C5C76">
        <w:rPr>
          <w:color w:val="000000" w:themeColor="text1"/>
          <w:sz w:val="20"/>
        </w:rPr>
        <w:t xml:space="preserve">More information is available at: </w:t>
      </w:r>
      <w:hyperlink r:id="rId8" w:history="1">
        <w:r w:rsidRPr="003C5C76">
          <w:rPr>
            <w:color w:val="000000" w:themeColor="text1"/>
            <w:sz w:val="20"/>
          </w:rPr>
          <w:t>http://www.enicbcmed.eu/projects/medusa</w:t>
        </w:r>
      </w:hyperlink>
      <w:r w:rsidRPr="003C5C76">
        <w:rPr>
          <w:color w:val="000000" w:themeColor="text1"/>
          <w:sz w:val="20"/>
        </w:rPr>
        <w:t xml:space="preserve"> </w:t>
      </w:r>
    </w:p>
    <w:p w14:paraId="4A319B9A" w14:textId="10956508" w:rsidR="00FF78D9" w:rsidRPr="003C5C76" w:rsidRDefault="00FF78D9" w:rsidP="00FF78D9">
      <w:pPr>
        <w:spacing w:after="0" w:line="276" w:lineRule="auto"/>
        <w:rPr>
          <w:b/>
          <w:color w:val="000000" w:themeColor="text1"/>
        </w:rPr>
      </w:pPr>
      <w:r w:rsidRPr="003C5C76">
        <w:rPr>
          <w:b/>
          <w:color w:val="000000" w:themeColor="text1"/>
        </w:rPr>
        <w:t>Objective, purpose and expected results</w:t>
      </w:r>
    </w:p>
    <w:p w14:paraId="059804F9" w14:textId="18A9E0A3" w:rsidR="00FF78D9" w:rsidRPr="003C5C76" w:rsidRDefault="00FF78D9" w:rsidP="0007791B">
      <w:pPr>
        <w:jc w:val="both"/>
        <w:rPr>
          <w:rFonts w:cstheme="minorHAnsi"/>
          <w:color w:val="000000" w:themeColor="text1"/>
          <w:sz w:val="20"/>
        </w:rPr>
      </w:pPr>
      <w:r w:rsidRPr="003C5C76">
        <w:rPr>
          <w:color w:val="000000" w:themeColor="text1"/>
          <w:sz w:val="20"/>
        </w:rPr>
        <w:t>The overall objective is to provide an insightful analysis of the</w:t>
      </w:r>
      <w:r w:rsidR="00CD25C6" w:rsidRPr="003C5C76">
        <w:rPr>
          <w:color w:val="000000" w:themeColor="text1"/>
          <w:sz w:val="20"/>
        </w:rPr>
        <w:t xml:space="preserve"> current position of</w:t>
      </w:r>
      <w:r w:rsidRPr="003C5C76">
        <w:rPr>
          <w:color w:val="000000" w:themeColor="text1"/>
          <w:sz w:val="20"/>
        </w:rPr>
        <w:t xml:space="preserve"> </w:t>
      </w:r>
      <w:r w:rsidR="0007791B" w:rsidRPr="004E7613">
        <w:rPr>
          <w:rFonts w:cstheme="minorHAnsi"/>
          <w:color w:val="000000" w:themeColor="text1"/>
          <w:sz w:val="20"/>
        </w:rPr>
        <w:t>Lebanon</w:t>
      </w:r>
      <w:r w:rsidR="00CD25C6" w:rsidRPr="004E7613">
        <w:rPr>
          <w:rFonts w:cstheme="minorHAnsi"/>
          <w:color w:val="000000" w:themeColor="text1"/>
          <w:sz w:val="20"/>
        </w:rPr>
        <w:t xml:space="preserve"> </w:t>
      </w:r>
      <w:r w:rsidRPr="003C5C76">
        <w:rPr>
          <w:color w:val="000000" w:themeColor="text1"/>
          <w:sz w:val="20"/>
        </w:rPr>
        <w:t>within the Adventure Tourism market and what opportunities exist for future development of the sector.</w:t>
      </w:r>
    </w:p>
    <w:p w14:paraId="600FC7FD" w14:textId="0FEBE41D" w:rsidR="00FF78D9" w:rsidRPr="003C5C76" w:rsidRDefault="00FF78D9" w:rsidP="00FF78D9">
      <w:pPr>
        <w:pStyle w:val="ListBullet"/>
        <w:keepNext/>
        <w:keepLines/>
        <w:numPr>
          <w:ilvl w:val="0"/>
          <w:numId w:val="0"/>
        </w:numPr>
        <w:spacing w:after="120"/>
        <w:ind w:left="283" w:hanging="283"/>
        <w:rPr>
          <w:rFonts w:ascii="Calibri" w:hAnsi="Calibri" w:cs="Calibri"/>
          <w:color w:val="000000" w:themeColor="text1"/>
          <w:sz w:val="20"/>
          <w:szCs w:val="22"/>
          <w:lang w:eastAsia="en-GB"/>
        </w:rPr>
      </w:pPr>
      <w:r w:rsidRPr="003C5C76">
        <w:rPr>
          <w:rFonts w:ascii="Calibri" w:hAnsi="Calibri" w:cs="Calibri"/>
          <w:color w:val="000000" w:themeColor="text1"/>
          <w:sz w:val="20"/>
          <w:szCs w:val="22"/>
          <w:lang w:eastAsia="en-GB"/>
        </w:rPr>
        <w:t>In specific, the purpose is as follows:</w:t>
      </w:r>
    </w:p>
    <w:p w14:paraId="587816B1" w14:textId="77777777" w:rsidR="00FF78D9" w:rsidRPr="003C5C76" w:rsidRDefault="00FF78D9" w:rsidP="00FF78D9">
      <w:pPr>
        <w:pStyle w:val="ListBullet"/>
        <w:keepNext/>
        <w:keepLines/>
        <w:spacing w:after="120"/>
        <w:ind w:left="284" w:hanging="284"/>
        <w:rPr>
          <w:rFonts w:ascii="Calibri" w:hAnsi="Calibri" w:cs="Calibri"/>
          <w:color w:val="000000" w:themeColor="text1"/>
          <w:sz w:val="20"/>
          <w:szCs w:val="22"/>
          <w:lang w:eastAsia="en-GB"/>
        </w:rPr>
      </w:pPr>
      <w:r w:rsidRPr="003C5C76">
        <w:rPr>
          <w:rFonts w:ascii="Calibri" w:hAnsi="Calibri" w:cs="Calibri"/>
          <w:color w:val="000000" w:themeColor="text1"/>
          <w:sz w:val="20"/>
          <w:szCs w:val="22"/>
          <w:lang w:eastAsia="en-GB"/>
        </w:rPr>
        <w:t xml:space="preserve">To provide an </w:t>
      </w:r>
      <w:r w:rsidRPr="003C5C76">
        <w:rPr>
          <w:rFonts w:ascii="Calibri" w:hAnsi="Calibri" w:cs="Calibri"/>
          <w:b/>
          <w:color w:val="000000" w:themeColor="text1"/>
          <w:sz w:val="20"/>
          <w:szCs w:val="22"/>
          <w:lang w:eastAsia="en-GB"/>
        </w:rPr>
        <w:t>assessment</w:t>
      </w:r>
      <w:r w:rsidRPr="003C5C76">
        <w:rPr>
          <w:rFonts w:ascii="Calibri" w:hAnsi="Calibri" w:cs="Calibri"/>
          <w:color w:val="000000" w:themeColor="text1"/>
          <w:sz w:val="20"/>
          <w:szCs w:val="22"/>
          <w:lang w:eastAsia="en-GB"/>
        </w:rPr>
        <w:t xml:space="preserve"> that examines both existing attractions that already draw visitors interested in Adventure Tourism and assets that have the potential for future development in the targeted territories. This includes wilderness, leisure &amp; recreational attractions (hiking, biking, climbing, etc. and other outdoor pursuits), historic monuments &amp; cultural events, evaluated against several criteria including product development potential. It uncovers available infrastructure &amp; services &amp; human capacity of the destinations;</w:t>
      </w:r>
    </w:p>
    <w:p w14:paraId="120B5FB7" w14:textId="77777777" w:rsidR="00FF78D9" w:rsidRPr="003C5C76" w:rsidRDefault="00FF78D9" w:rsidP="00FF78D9">
      <w:pPr>
        <w:pStyle w:val="ListBullet"/>
        <w:keepNext/>
        <w:keepLines/>
        <w:spacing w:after="120"/>
        <w:ind w:left="284" w:hanging="284"/>
        <w:rPr>
          <w:rFonts w:ascii="Calibri" w:hAnsi="Calibri" w:cs="Calibri"/>
          <w:color w:val="000000" w:themeColor="text1"/>
          <w:sz w:val="20"/>
          <w:szCs w:val="22"/>
          <w:lang w:eastAsia="en-GB"/>
        </w:rPr>
      </w:pPr>
      <w:r w:rsidRPr="003C5C76">
        <w:rPr>
          <w:rFonts w:ascii="Calibri" w:hAnsi="Calibri" w:cs="Calibri"/>
          <w:color w:val="000000" w:themeColor="text1"/>
          <w:sz w:val="20"/>
          <w:szCs w:val="22"/>
          <w:lang w:eastAsia="en-GB"/>
        </w:rPr>
        <w:t xml:space="preserve">To identify for each territory the </w:t>
      </w:r>
      <w:r w:rsidRPr="003C5C76">
        <w:rPr>
          <w:rFonts w:ascii="Calibri" w:hAnsi="Calibri" w:cs="Calibri"/>
          <w:b/>
          <w:color w:val="000000" w:themeColor="text1"/>
          <w:sz w:val="20"/>
          <w:szCs w:val="22"/>
          <w:lang w:eastAsia="en-GB"/>
        </w:rPr>
        <w:t>complementary relationship</w:t>
      </w:r>
      <w:r w:rsidRPr="003C5C76">
        <w:rPr>
          <w:rFonts w:ascii="Calibri" w:hAnsi="Calibri" w:cs="Calibri"/>
          <w:color w:val="000000" w:themeColor="text1"/>
          <w:sz w:val="20"/>
          <w:szCs w:val="22"/>
          <w:lang w:eastAsia="en-GB"/>
        </w:rPr>
        <w:t xml:space="preserve"> between the host communities and tourism from a socio-economic context, incorporating gender perspectives in the discussion. It reviews institutional support for tourism development, mapping key stakeholders (government, tourism boards, investment promotion offices, park &amp; wildlife services, local tourism associations) and estimates the potential impacts, both negative and positive, of tourism on the environment.</w:t>
      </w:r>
    </w:p>
    <w:p w14:paraId="7690A732" w14:textId="2815E5A9" w:rsidR="00FF78D9" w:rsidRPr="003C5C76" w:rsidRDefault="00FF78D9" w:rsidP="00FF78D9">
      <w:pPr>
        <w:jc w:val="both"/>
        <w:rPr>
          <w:color w:val="000000" w:themeColor="text1"/>
          <w:sz w:val="20"/>
        </w:rPr>
      </w:pPr>
      <w:r w:rsidRPr="003C5C76">
        <w:rPr>
          <w:color w:val="000000" w:themeColor="text1"/>
          <w:sz w:val="20"/>
        </w:rPr>
        <w:t>The results to be achieved by the Consultant</w:t>
      </w:r>
      <w:r w:rsidR="005C54C0">
        <w:rPr>
          <w:color w:val="000000" w:themeColor="text1"/>
          <w:sz w:val="20"/>
        </w:rPr>
        <w:t xml:space="preserve"> or the firm</w:t>
      </w:r>
      <w:r w:rsidRPr="003C5C76">
        <w:rPr>
          <w:color w:val="000000" w:themeColor="text1"/>
          <w:sz w:val="20"/>
        </w:rPr>
        <w:t xml:space="preserve"> are: </w:t>
      </w:r>
    </w:p>
    <w:p w14:paraId="27162569" w14:textId="3C0B578F" w:rsidR="00FF78D9" w:rsidRPr="003C5C76" w:rsidRDefault="00FF78D9" w:rsidP="00FF78D9">
      <w:pPr>
        <w:pStyle w:val="ListBullet"/>
        <w:spacing w:after="120"/>
        <w:ind w:left="284" w:hanging="284"/>
        <w:rPr>
          <w:rFonts w:ascii="Calibri" w:hAnsi="Calibri" w:cs="Calibri"/>
          <w:color w:val="000000" w:themeColor="text1"/>
          <w:sz w:val="18"/>
          <w:lang w:eastAsia="en-GB"/>
        </w:rPr>
      </w:pPr>
      <w:r w:rsidRPr="003C5C76">
        <w:rPr>
          <w:rFonts w:ascii="Calibri" w:hAnsi="Calibri" w:cs="Calibri"/>
          <w:b/>
          <w:color w:val="000000" w:themeColor="text1"/>
          <w:sz w:val="18"/>
          <w:u w:val="single"/>
          <w:lang w:eastAsia="en-GB"/>
        </w:rPr>
        <w:t>RESULT Nº1:</w:t>
      </w:r>
      <w:r w:rsidRPr="003C5C76">
        <w:rPr>
          <w:rFonts w:ascii="Calibri" w:hAnsi="Calibri" w:cs="Calibri"/>
          <w:b/>
          <w:color w:val="000000" w:themeColor="text1"/>
          <w:sz w:val="18"/>
          <w:lang w:eastAsia="en-GB"/>
        </w:rPr>
        <w:t xml:space="preserve"> </w:t>
      </w:r>
      <w:r w:rsidRPr="003C5C76">
        <w:rPr>
          <w:rFonts w:ascii="Calibri" w:hAnsi="Calibri" w:cs="Calibri"/>
          <w:color w:val="000000" w:themeColor="text1"/>
          <w:sz w:val="18"/>
          <w:lang w:eastAsia="en-GB"/>
        </w:rPr>
        <w:t xml:space="preserve">Mapping and Database of Adventure Tourism Assets in the target territories; </w:t>
      </w:r>
    </w:p>
    <w:p w14:paraId="17A6056A" w14:textId="6D7764BA" w:rsidR="00FF78D9" w:rsidRPr="003C5C76" w:rsidRDefault="00FF78D9" w:rsidP="00FF78D9">
      <w:pPr>
        <w:pStyle w:val="ListBullet"/>
        <w:spacing w:after="120"/>
        <w:ind w:left="284" w:hanging="284"/>
        <w:rPr>
          <w:rFonts w:ascii="Calibri" w:hAnsi="Calibri" w:cs="Calibri"/>
          <w:color w:val="000000" w:themeColor="text1"/>
          <w:sz w:val="18"/>
          <w:lang w:eastAsia="en-GB"/>
        </w:rPr>
      </w:pPr>
      <w:r w:rsidRPr="003C5C76">
        <w:rPr>
          <w:rFonts w:ascii="Calibri" w:hAnsi="Calibri" w:cs="Calibri"/>
          <w:b/>
          <w:color w:val="000000" w:themeColor="text1"/>
          <w:sz w:val="18"/>
          <w:u w:val="single"/>
          <w:lang w:eastAsia="en-GB"/>
        </w:rPr>
        <w:t>RESULT Nº2:</w:t>
      </w:r>
      <w:r w:rsidRPr="003C5C76">
        <w:rPr>
          <w:rFonts w:ascii="Calibri" w:hAnsi="Calibri" w:cs="Calibri"/>
          <w:b/>
          <w:color w:val="000000" w:themeColor="text1"/>
          <w:sz w:val="18"/>
          <w:lang w:eastAsia="en-GB"/>
        </w:rPr>
        <w:t xml:space="preserve"> </w:t>
      </w:r>
      <w:r w:rsidRPr="003C5C76">
        <w:rPr>
          <w:rFonts w:ascii="Calibri" w:hAnsi="Calibri" w:cs="Calibri"/>
          <w:color w:val="000000" w:themeColor="text1"/>
          <w:sz w:val="18"/>
          <w:lang w:eastAsia="en-GB"/>
        </w:rPr>
        <w:t>Socio-economic, legal and environmental profile of the target territories.</w:t>
      </w:r>
    </w:p>
    <w:p w14:paraId="331A2442" w14:textId="283ED520" w:rsidR="00FF78D9" w:rsidRPr="003C5C76" w:rsidRDefault="00FF78D9" w:rsidP="00FF78D9">
      <w:pPr>
        <w:spacing w:after="0" w:line="276" w:lineRule="auto"/>
        <w:rPr>
          <w:b/>
          <w:color w:val="000000" w:themeColor="text1"/>
        </w:rPr>
      </w:pPr>
      <w:r w:rsidRPr="003C5C76">
        <w:rPr>
          <w:b/>
          <w:color w:val="000000" w:themeColor="text1"/>
        </w:rPr>
        <w:t>Description of the assignment</w:t>
      </w:r>
    </w:p>
    <w:p w14:paraId="25D69CDA" w14:textId="77777777" w:rsidR="00FF78D9" w:rsidRPr="003C5C76" w:rsidRDefault="00FF78D9" w:rsidP="00FF78D9">
      <w:pPr>
        <w:jc w:val="both"/>
        <w:rPr>
          <w:color w:val="000000" w:themeColor="text1"/>
          <w:sz w:val="20"/>
        </w:rPr>
      </w:pPr>
      <w:r w:rsidRPr="003C5C76">
        <w:rPr>
          <w:color w:val="000000" w:themeColor="text1"/>
          <w:sz w:val="20"/>
        </w:rPr>
        <w:t xml:space="preserve">The Consultants’ service is expected to provide a </w:t>
      </w:r>
      <w:r w:rsidRPr="003C5C76">
        <w:rPr>
          <w:b/>
          <w:color w:val="000000" w:themeColor="text1"/>
          <w:sz w:val="20"/>
        </w:rPr>
        <w:t>comprehensive analysis of the current situation of Adventure Tourism</w:t>
      </w:r>
      <w:r w:rsidRPr="003C5C76">
        <w:rPr>
          <w:color w:val="000000" w:themeColor="text1"/>
          <w:sz w:val="20"/>
        </w:rPr>
        <w:t xml:space="preserve"> in the territorial areas targeted determining its current and future opportunities as well as limitations. </w:t>
      </w:r>
    </w:p>
    <w:p w14:paraId="354C2499" w14:textId="5662526E" w:rsidR="00FF78D9" w:rsidRPr="003C5C76" w:rsidRDefault="00FF78D9" w:rsidP="00FF78D9">
      <w:pPr>
        <w:jc w:val="both"/>
        <w:rPr>
          <w:color w:val="000000" w:themeColor="text1"/>
          <w:sz w:val="20"/>
        </w:rPr>
      </w:pPr>
      <w:r w:rsidRPr="003C5C76">
        <w:rPr>
          <w:color w:val="000000" w:themeColor="text1"/>
          <w:sz w:val="20"/>
        </w:rPr>
        <w:t>The approach followed encompasses a comprehensive</w:t>
      </w:r>
      <w:r w:rsidR="00FB56A5">
        <w:rPr>
          <w:color w:val="000000" w:themeColor="text1"/>
          <w:sz w:val="20"/>
        </w:rPr>
        <w:t xml:space="preserve"> </w:t>
      </w:r>
      <w:r w:rsidRPr="003C5C76">
        <w:rPr>
          <w:color w:val="000000" w:themeColor="text1"/>
          <w:sz w:val="20"/>
        </w:rPr>
        <w:t>and participatory assessment process of the socio-economic, environmental and legal context, and a territorial and local asset mapping, which uncovers existing attractions drawing visitors to the area as well as less known areas that have the potential for future development.</w:t>
      </w:r>
    </w:p>
    <w:p w14:paraId="4524CD69" w14:textId="77777777" w:rsidR="00FF78D9" w:rsidRPr="003C5C76" w:rsidRDefault="00FF78D9" w:rsidP="00FF78D9">
      <w:pPr>
        <w:jc w:val="both"/>
        <w:rPr>
          <w:color w:val="000000" w:themeColor="text1"/>
          <w:sz w:val="20"/>
        </w:rPr>
      </w:pPr>
      <w:r w:rsidRPr="003C5C76">
        <w:rPr>
          <w:color w:val="000000" w:themeColor="text1"/>
          <w:sz w:val="20"/>
        </w:rPr>
        <w:t>All the resources that visitors consume should be also considered, not only the resources that are located in the immediate area around the tourist attraction, but also the resources that are located in the influence area (expanded area) that can be attractive in order to enhance visitors flow to the territory.</w:t>
      </w:r>
    </w:p>
    <w:p w14:paraId="2FE90817" w14:textId="77777777" w:rsidR="00FF78D9" w:rsidRPr="003C5C76" w:rsidRDefault="00FF78D9" w:rsidP="00FF78D9">
      <w:pPr>
        <w:jc w:val="both"/>
        <w:rPr>
          <w:color w:val="000000" w:themeColor="text1"/>
          <w:sz w:val="20"/>
        </w:rPr>
      </w:pPr>
      <w:r w:rsidRPr="003C5C76">
        <w:rPr>
          <w:color w:val="000000" w:themeColor="text1"/>
          <w:sz w:val="20"/>
        </w:rPr>
        <w:t>The analysis of resources will be carried out, therefore, on two territorial levels:</w:t>
      </w:r>
    </w:p>
    <w:p w14:paraId="19E8371F" w14:textId="77777777" w:rsidR="00FF78D9" w:rsidRPr="003C5C76" w:rsidRDefault="00FF78D9" w:rsidP="00FF78D9">
      <w:pPr>
        <w:numPr>
          <w:ilvl w:val="0"/>
          <w:numId w:val="18"/>
        </w:numPr>
        <w:spacing w:after="240" w:line="240" w:lineRule="auto"/>
        <w:jc w:val="both"/>
        <w:rPr>
          <w:color w:val="000000" w:themeColor="text1"/>
          <w:sz w:val="20"/>
        </w:rPr>
      </w:pPr>
      <w:r w:rsidRPr="003C5C76">
        <w:rPr>
          <w:b/>
          <w:color w:val="000000" w:themeColor="text1"/>
          <w:sz w:val="20"/>
        </w:rPr>
        <w:t>Immediate area</w:t>
      </w:r>
      <w:r w:rsidRPr="003C5C76">
        <w:rPr>
          <w:color w:val="000000" w:themeColor="text1"/>
          <w:sz w:val="20"/>
        </w:rPr>
        <w:t xml:space="preserve"> (resources located in the territory);</w:t>
      </w:r>
    </w:p>
    <w:p w14:paraId="7C974ECA" w14:textId="77777777" w:rsidR="00FF78D9" w:rsidRPr="003C5C76" w:rsidRDefault="00FF78D9" w:rsidP="00FF78D9">
      <w:pPr>
        <w:numPr>
          <w:ilvl w:val="0"/>
          <w:numId w:val="18"/>
        </w:numPr>
        <w:spacing w:after="240" w:line="240" w:lineRule="auto"/>
        <w:jc w:val="both"/>
        <w:rPr>
          <w:color w:val="000000" w:themeColor="text1"/>
          <w:sz w:val="20"/>
        </w:rPr>
      </w:pPr>
      <w:r w:rsidRPr="003C5C76">
        <w:rPr>
          <w:b/>
          <w:color w:val="000000" w:themeColor="text1"/>
          <w:sz w:val="20"/>
        </w:rPr>
        <w:t>Expanded area</w:t>
      </w:r>
      <w:r w:rsidRPr="003C5C76">
        <w:rPr>
          <w:color w:val="000000" w:themeColor="text1"/>
          <w:sz w:val="20"/>
        </w:rPr>
        <w:t xml:space="preserve"> (resource located in the region or neighbouring regions, but also susceptible to be incorporated or linked to the offer of the territory targeted).</w:t>
      </w:r>
    </w:p>
    <w:p w14:paraId="53B693DE" w14:textId="79832120" w:rsidR="00FF78D9" w:rsidRPr="00473F61" w:rsidRDefault="00FF78D9" w:rsidP="0007791B">
      <w:pPr>
        <w:jc w:val="both"/>
        <w:rPr>
          <w:rFonts w:ascii="Times New Roman" w:hAnsi="Times New Roman"/>
          <w:color w:val="ED7D31" w:themeColor="accent2"/>
          <w:sz w:val="20"/>
        </w:rPr>
      </w:pPr>
      <w:r w:rsidRPr="003C5C76">
        <w:rPr>
          <w:color w:val="000000" w:themeColor="text1"/>
          <w:sz w:val="20"/>
        </w:rPr>
        <w:t xml:space="preserve">By employing a participatory approach throughout this assessment, the </w:t>
      </w:r>
      <w:r w:rsidR="0007791B" w:rsidRPr="003C5C76">
        <w:rPr>
          <w:rFonts w:cstheme="minorHAnsi"/>
          <w:color w:val="000000" w:themeColor="text1"/>
          <w:sz w:val="20"/>
        </w:rPr>
        <w:t>Ren</w:t>
      </w:r>
      <w:r w:rsidR="004E7613">
        <w:rPr>
          <w:rFonts w:cstheme="minorHAnsi"/>
          <w:color w:val="000000" w:themeColor="text1"/>
          <w:sz w:val="20"/>
        </w:rPr>
        <w:t>é</w:t>
      </w:r>
      <w:r w:rsidR="0007791B" w:rsidRPr="003C5C76">
        <w:rPr>
          <w:rFonts w:cstheme="minorHAnsi"/>
          <w:color w:val="000000" w:themeColor="text1"/>
          <w:sz w:val="20"/>
        </w:rPr>
        <w:t xml:space="preserve"> Moawad Foundation</w:t>
      </w:r>
      <w:r w:rsidRPr="003C5C76">
        <w:rPr>
          <w:color w:val="000000" w:themeColor="text1"/>
          <w:sz w:val="20"/>
        </w:rPr>
        <w:t xml:space="preserve"> aims to engage key beneficiaries at an early stage of the MEDUSA project and identify further organisations and individuals needed to support and implement the project. To this end, it is expected that the </w:t>
      </w:r>
      <w:r w:rsidRPr="003C5C76">
        <w:rPr>
          <w:color w:val="000000" w:themeColor="text1"/>
          <w:sz w:val="20"/>
        </w:rPr>
        <w:lastRenderedPageBreak/>
        <w:t xml:space="preserve">Consultants will analyse the </w:t>
      </w:r>
      <w:r w:rsidRPr="003C5C76">
        <w:rPr>
          <w:b/>
          <w:color w:val="000000" w:themeColor="text1"/>
          <w:sz w:val="20"/>
        </w:rPr>
        <w:t>destination</w:t>
      </w:r>
      <w:r w:rsidR="00EB4C91">
        <w:rPr>
          <w:b/>
          <w:color w:val="000000" w:themeColor="text1"/>
          <w:sz w:val="20"/>
        </w:rPr>
        <w:t xml:space="preserve"> </w:t>
      </w:r>
      <w:r w:rsidR="006D3D8D">
        <w:rPr>
          <w:b/>
          <w:color w:val="000000" w:themeColor="text1"/>
          <w:sz w:val="20"/>
        </w:rPr>
        <w:t xml:space="preserve">management organisation’ </w:t>
      </w:r>
      <w:r w:rsidRPr="003C5C76">
        <w:rPr>
          <w:b/>
          <w:color w:val="000000" w:themeColor="text1"/>
          <w:sz w:val="20"/>
        </w:rPr>
        <w:t>surveys</w:t>
      </w:r>
      <w:r w:rsidRPr="003C5C76">
        <w:rPr>
          <w:color w:val="000000" w:themeColor="text1"/>
          <w:sz w:val="20"/>
        </w:rPr>
        <w:t xml:space="preserve"> collected by </w:t>
      </w:r>
      <w:r w:rsidR="0007791B" w:rsidRPr="003C5C76">
        <w:rPr>
          <w:rFonts w:cstheme="minorHAnsi"/>
          <w:color w:val="000000" w:themeColor="text1"/>
          <w:sz w:val="20"/>
        </w:rPr>
        <w:t>Ren</w:t>
      </w:r>
      <w:r w:rsidR="003C5C76">
        <w:rPr>
          <w:rFonts w:cstheme="minorHAnsi"/>
          <w:color w:val="000000" w:themeColor="text1"/>
          <w:sz w:val="20"/>
        </w:rPr>
        <w:t>é</w:t>
      </w:r>
      <w:r w:rsidR="0007791B" w:rsidRPr="003C5C76">
        <w:rPr>
          <w:rFonts w:cstheme="minorHAnsi"/>
          <w:color w:val="000000" w:themeColor="text1"/>
          <w:sz w:val="20"/>
        </w:rPr>
        <w:t xml:space="preserve"> Moawad Foundation</w:t>
      </w:r>
      <w:r w:rsidRPr="003C5C76">
        <w:rPr>
          <w:color w:val="000000" w:themeColor="text1"/>
          <w:sz w:val="20"/>
        </w:rPr>
        <w:t xml:space="preserve"> and organise interviews with key stakeholders as suggested by </w:t>
      </w:r>
      <w:r w:rsidR="0007791B">
        <w:rPr>
          <w:rFonts w:cstheme="minorHAnsi"/>
          <w:sz w:val="20"/>
        </w:rPr>
        <w:t>Ren</w:t>
      </w:r>
      <w:r w:rsidR="003C5C76">
        <w:rPr>
          <w:rFonts w:cstheme="minorHAnsi"/>
          <w:sz w:val="20"/>
        </w:rPr>
        <w:t>é</w:t>
      </w:r>
      <w:r w:rsidR="0007791B">
        <w:rPr>
          <w:rFonts w:cstheme="minorHAnsi"/>
          <w:sz w:val="20"/>
        </w:rPr>
        <w:t xml:space="preserve"> Moawad Foundation</w:t>
      </w:r>
      <w:r w:rsidR="003C5C76">
        <w:rPr>
          <w:rFonts w:cstheme="minorHAnsi"/>
          <w:sz w:val="20"/>
        </w:rPr>
        <w:t>.</w:t>
      </w:r>
      <w:r w:rsidRPr="00473F61">
        <w:rPr>
          <w:color w:val="ED7D31" w:themeColor="accent2"/>
          <w:sz w:val="20"/>
        </w:rPr>
        <w:t xml:space="preserve"> </w:t>
      </w:r>
    </w:p>
    <w:p w14:paraId="62DF2EE0" w14:textId="285979A6" w:rsidR="00FF78D9" w:rsidRPr="00CD25C6" w:rsidRDefault="00CD25C6" w:rsidP="00CD25C6">
      <w:pPr>
        <w:spacing w:after="0" w:line="276" w:lineRule="auto"/>
        <w:rPr>
          <w:b/>
        </w:rPr>
      </w:pPr>
      <w:r w:rsidRPr="00CD25C6">
        <w:rPr>
          <w:b/>
        </w:rPr>
        <w:t>Geographical area to be covered</w:t>
      </w:r>
    </w:p>
    <w:p w14:paraId="2E68AE74" w14:textId="7F5F4EAA" w:rsidR="00CD25C6" w:rsidRPr="00473F61" w:rsidRDefault="003C5C76" w:rsidP="00CD25C6">
      <w:pPr>
        <w:rPr>
          <w:rFonts w:cstheme="minorHAnsi"/>
          <w:sz w:val="20"/>
        </w:rPr>
      </w:pPr>
      <w:r>
        <w:rPr>
          <w:rFonts w:cstheme="minorHAnsi"/>
          <w:sz w:val="20"/>
        </w:rPr>
        <w:t>All Lebanese territories.</w:t>
      </w:r>
    </w:p>
    <w:p w14:paraId="18B95B5A" w14:textId="59A94E9E" w:rsidR="00CD25C6" w:rsidRPr="00CD25C6" w:rsidRDefault="00CD25C6" w:rsidP="00CD25C6">
      <w:pPr>
        <w:rPr>
          <w:rFonts w:cstheme="minorHAnsi"/>
          <w:b/>
        </w:rPr>
      </w:pPr>
      <w:r w:rsidRPr="00CD25C6">
        <w:rPr>
          <w:rFonts w:cstheme="minorHAnsi"/>
          <w:b/>
        </w:rPr>
        <w:t>Specific work</w:t>
      </w:r>
    </w:p>
    <w:p w14:paraId="53C76226" w14:textId="29B3DA4E" w:rsidR="00CD25C6" w:rsidRPr="003C5C76" w:rsidRDefault="00CD25C6" w:rsidP="00473F61">
      <w:pPr>
        <w:pStyle w:val="Heading2"/>
        <w:spacing w:after="120"/>
        <w:rPr>
          <w:rFonts w:asciiTheme="minorHAnsi" w:hAnsiTheme="minorHAnsi" w:cstheme="minorHAnsi"/>
          <w:color w:val="000000" w:themeColor="text1"/>
          <w:sz w:val="20"/>
          <w:szCs w:val="22"/>
        </w:rPr>
      </w:pPr>
      <w:r w:rsidRPr="003C5C76">
        <w:rPr>
          <w:rFonts w:asciiTheme="minorHAnsi" w:hAnsiTheme="minorHAnsi" w:cstheme="minorHAnsi"/>
          <w:color w:val="000000" w:themeColor="text1"/>
          <w:sz w:val="20"/>
          <w:szCs w:val="22"/>
        </w:rPr>
        <w:t xml:space="preserve">The Consultant’s </w:t>
      </w:r>
      <w:r w:rsidR="005C54C0">
        <w:rPr>
          <w:rFonts w:asciiTheme="minorHAnsi" w:hAnsiTheme="minorHAnsi" w:cstheme="minorHAnsi"/>
          <w:color w:val="000000" w:themeColor="text1"/>
          <w:sz w:val="20"/>
          <w:szCs w:val="22"/>
        </w:rPr>
        <w:t xml:space="preserve">or firm </w:t>
      </w:r>
      <w:r w:rsidRPr="003C5C76">
        <w:rPr>
          <w:rFonts w:asciiTheme="minorHAnsi" w:hAnsiTheme="minorHAnsi" w:cstheme="minorHAnsi"/>
          <w:color w:val="000000" w:themeColor="text1"/>
          <w:sz w:val="20"/>
          <w:szCs w:val="22"/>
        </w:rPr>
        <w:t xml:space="preserve">services will include but not necessarily be limited to the following: </w:t>
      </w:r>
    </w:p>
    <w:p w14:paraId="230D1F6D" w14:textId="07AC8B8C" w:rsidR="00CD25C6" w:rsidRPr="003C5C76" w:rsidRDefault="00CD25C6" w:rsidP="0007791B">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Present the proposed organisation and methodology to key stakeholders during a local kick-off workshop organised by </w:t>
      </w:r>
      <w:r w:rsidR="0007791B" w:rsidRPr="003C5C76">
        <w:rPr>
          <w:rFonts w:cstheme="minorHAnsi"/>
          <w:color w:val="000000" w:themeColor="text1"/>
          <w:sz w:val="20"/>
        </w:rPr>
        <w:t>Ren</w:t>
      </w:r>
      <w:r w:rsidR="003C5C76">
        <w:rPr>
          <w:rFonts w:cstheme="minorHAnsi"/>
          <w:color w:val="000000" w:themeColor="text1"/>
          <w:sz w:val="20"/>
        </w:rPr>
        <w:t>é</w:t>
      </w:r>
      <w:r w:rsidR="0007791B" w:rsidRPr="003C5C76">
        <w:rPr>
          <w:rFonts w:cstheme="minorHAnsi"/>
          <w:color w:val="000000" w:themeColor="text1"/>
          <w:sz w:val="20"/>
        </w:rPr>
        <w:t xml:space="preserve"> Moawad Foundatio</w:t>
      </w:r>
      <w:r w:rsidR="004E7613">
        <w:rPr>
          <w:rFonts w:cstheme="minorHAnsi"/>
          <w:color w:val="000000" w:themeColor="text1"/>
          <w:sz w:val="20"/>
        </w:rPr>
        <w:t>n</w:t>
      </w:r>
      <w:r w:rsidRPr="003C5C76">
        <w:rPr>
          <w:rFonts w:cstheme="minorHAnsi"/>
          <w:color w:val="000000" w:themeColor="text1"/>
          <w:sz w:val="20"/>
        </w:rPr>
        <w:t xml:space="preserve"> in </w:t>
      </w:r>
      <w:r w:rsidR="0007791B" w:rsidRPr="003C5C76">
        <w:rPr>
          <w:rFonts w:cstheme="minorHAnsi"/>
          <w:color w:val="000000" w:themeColor="text1"/>
          <w:sz w:val="20"/>
        </w:rPr>
        <w:t>Lebanon</w:t>
      </w:r>
      <w:r w:rsidR="00FB56A5">
        <w:rPr>
          <w:rFonts w:cstheme="minorHAnsi"/>
          <w:color w:val="000000" w:themeColor="text1"/>
          <w:sz w:val="20"/>
        </w:rPr>
        <w:t>.</w:t>
      </w:r>
    </w:p>
    <w:p w14:paraId="497B6759" w14:textId="5FB1EB74"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Update the proposed </w:t>
      </w:r>
      <w:r w:rsidRPr="003C5C76">
        <w:rPr>
          <w:rFonts w:cstheme="minorHAnsi"/>
          <w:b/>
          <w:color w:val="000000" w:themeColor="text1"/>
          <w:sz w:val="20"/>
        </w:rPr>
        <w:t>organisation and methodology</w:t>
      </w:r>
      <w:r w:rsidRPr="003C5C76">
        <w:rPr>
          <w:rFonts w:cstheme="minorHAnsi"/>
          <w:color w:val="000000" w:themeColor="text1"/>
          <w:sz w:val="20"/>
        </w:rPr>
        <w:t xml:space="preserve"> according to the local workshop conclusions, and include it in the Inception Report; </w:t>
      </w:r>
    </w:p>
    <w:p w14:paraId="1E389781" w14:textId="69E68C78"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Send, collect and analyse the </w:t>
      </w:r>
      <w:r w:rsidR="006D3D8D" w:rsidRPr="003C5C76">
        <w:rPr>
          <w:b/>
          <w:color w:val="000000" w:themeColor="text1"/>
          <w:sz w:val="20"/>
        </w:rPr>
        <w:t>destination</w:t>
      </w:r>
      <w:r w:rsidR="006D3D8D">
        <w:rPr>
          <w:b/>
          <w:color w:val="000000" w:themeColor="text1"/>
          <w:sz w:val="20"/>
        </w:rPr>
        <w:t xml:space="preserve"> management organisation’</w:t>
      </w:r>
      <w:r w:rsidR="006D3D8D" w:rsidRPr="003C5C76">
        <w:rPr>
          <w:b/>
          <w:color w:val="000000" w:themeColor="text1"/>
          <w:sz w:val="20"/>
        </w:rPr>
        <w:t>surveys</w:t>
      </w:r>
      <w:r w:rsidR="006D3D8D" w:rsidRPr="003C5C76">
        <w:rPr>
          <w:color w:val="000000" w:themeColor="text1"/>
          <w:sz w:val="20"/>
        </w:rPr>
        <w:t xml:space="preserve"> </w:t>
      </w:r>
      <w:r w:rsidRPr="003C5C76">
        <w:rPr>
          <w:rFonts w:cstheme="minorHAnsi"/>
          <w:color w:val="000000" w:themeColor="text1"/>
          <w:sz w:val="20"/>
        </w:rPr>
        <w:t xml:space="preserve">(following </w:t>
      </w:r>
      <w:r w:rsidRPr="003C5C76">
        <w:rPr>
          <w:rFonts w:cstheme="minorHAnsi"/>
          <w:b/>
          <w:color w:val="000000" w:themeColor="text1"/>
          <w:sz w:val="20"/>
          <w:u w:val="single"/>
        </w:rPr>
        <w:t>Annex 1</w:t>
      </w:r>
      <w:r w:rsidRPr="003C5C76">
        <w:rPr>
          <w:rFonts w:cstheme="minorHAnsi"/>
          <w:color w:val="000000" w:themeColor="text1"/>
          <w:sz w:val="20"/>
        </w:rPr>
        <w:t xml:space="preserve">) and organise interview with key stakeholders. </w:t>
      </w:r>
    </w:p>
    <w:p w14:paraId="7C18DEFD" w14:textId="77777777" w:rsidR="00CD25C6" w:rsidRPr="003C5C76" w:rsidRDefault="00CD25C6" w:rsidP="00CD25C6">
      <w:pPr>
        <w:keepNext/>
        <w:rPr>
          <w:rFonts w:cstheme="minorHAnsi"/>
          <w:color w:val="000000" w:themeColor="text1"/>
          <w:sz w:val="20"/>
        </w:rPr>
      </w:pPr>
      <w:r w:rsidRPr="003C5C76">
        <w:rPr>
          <w:rFonts w:cstheme="minorHAnsi"/>
          <w:b/>
          <w:color w:val="000000" w:themeColor="text1"/>
          <w:sz w:val="20"/>
        </w:rPr>
        <w:t xml:space="preserve">To achieve RESULT Nº1: </w:t>
      </w:r>
    </w:p>
    <w:p w14:paraId="612F99C7" w14:textId="46A4EB1A"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Identification of </w:t>
      </w:r>
      <w:r w:rsidRPr="003C5C76">
        <w:rPr>
          <w:rFonts w:cstheme="minorHAnsi"/>
          <w:b/>
          <w:color w:val="000000" w:themeColor="text1"/>
          <w:sz w:val="20"/>
        </w:rPr>
        <w:t>adventure tourism activities</w:t>
      </w:r>
      <w:r w:rsidR="00BE74D9">
        <w:rPr>
          <w:rStyle w:val="FootnoteReference"/>
          <w:rFonts w:cstheme="minorHAnsi"/>
          <w:b/>
          <w:color w:val="000000" w:themeColor="text1"/>
        </w:rPr>
        <w:footnoteReference w:id="1"/>
      </w:r>
      <w:r w:rsidRPr="003C5C76">
        <w:rPr>
          <w:rFonts w:cstheme="minorHAnsi"/>
          <w:color w:val="000000" w:themeColor="text1"/>
          <w:sz w:val="20"/>
        </w:rPr>
        <w:t xml:space="preserve"> in the targeted territories such as rafting, </w:t>
      </w:r>
      <w:r w:rsidRPr="003C5C76">
        <w:rPr>
          <w:rFonts w:cstheme="minorHAnsi"/>
          <w:color w:val="000000" w:themeColor="text1"/>
          <w:sz w:val="20"/>
          <w:lang w:val="en-US"/>
        </w:rPr>
        <w:t>Canyoning, Paragliding, Tree climbing, Surfing, Regatta, Marathon, Mountaineering, Hiking trail, Hiking and Cycling paths, Speleology, Climbing, Diving, Biking, etc.;</w:t>
      </w:r>
      <w:r w:rsidRPr="003C5C76">
        <w:rPr>
          <w:rFonts w:cstheme="minorHAnsi"/>
          <w:color w:val="000000" w:themeColor="text1"/>
          <w:sz w:val="20"/>
          <w:lang w:val="ca-ES"/>
        </w:rPr>
        <w:t xml:space="preserve"> </w:t>
      </w:r>
    </w:p>
    <w:p w14:paraId="7A2B4985" w14:textId="77777777"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Identification of the </w:t>
      </w:r>
      <w:r w:rsidRPr="003C5C76">
        <w:rPr>
          <w:rFonts w:cstheme="minorHAnsi"/>
          <w:b/>
          <w:color w:val="000000" w:themeColor="text1"/>
          <w:sz w:val="20"/>
        </w:rPr>
        <w:t>resources</w:t>
      </w:r>
      <w:r w:rsidRPr="003C5C76">
        <w:rPr>
          <w:rFonts w:cstheme="minorHAnsi"/>
          <w:color w:val="000000" w:themeColor="text1"/>
          <w:sz w:val="20"/>
        </w:rPr>
        <w:t xml:space="preserve"> in the targeted territories, consisting of cultural and historical assets, as well as natural and agricultural heritage of potential interest, that could be associated to the identified adventure tourism activities, and provide information on the level of use, the current and future tourism value, and add any links to promotional or any other material with relevant information;</w:t>
      </w:r>
    </w:p>
    <w:p w14:paraId="69B07889" w14:textId="77777777"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Identification of (mobility) </w:t>
      </w:r>
      <w:r w:rsidRPr="003C5C76">
        <w:rPr>
          <w:rFonts w:cstheme="minorHAnsi"/>
          <w:b/>
          <w:color w:val="000000" w:themeColor="text1"/>
          <w:sz w:val="20"/>
        </w:rPr>
        <w:t xml:space="preserve">infrastructures </w:t>
      </w:r>
      <w:r w:rsidRPr="003C5C76">
        <w:rPr>
          <w:rFonts w:cstheme="minorHAnsi"/>
          <w:color w:val="000000" w:themeColor="text1"/>
          <w:sz w:val="20"/>
        </w:rPr>
        <w:t>in the targeted territories and description of: a) how to get to the attractions doing reference to external accessibility (highways, roads, railways, airport, etc.); b) how to move around to do the activities and complementary visits, doing reference to internal mobility (road network, country transport systems, etc.);</w:t>
      </w:r>
    </w:p>
    <w:p w14:paraId="320D1E79" w14:textId="77777777"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Identification of other </w:t>
      </w:r>
      <w:r w:rsidRPr="003C5C76">
        <w:rPr>
          <w:rFonts w:cstheme="minorHAnsi"/>
          <w:b/>
          <w:color w:val="000000" w:themeColor="text1"/>
          <w:sz w:val="20"/>
        </w:rPr>
        <w:t>services</w:t>
      </w:r>
      <w:r w:rsidRPr="003C5C76">
        <w:rPr>
          <w:rFonts w:cstheme="minorHAnsi"/>
          <w:color w:val="000000" w:themeColor="text1"/>
          <w:sz w:val="20"/>
        </w:rPr>
        <w:t xml:space="preserve"> of interest such as sanitary and medical offer, security, etc.; </w:t>
      </w:r>
    </w:p>
    <w:p w14:paraId="3C56E7B7" w14:textId="77777777"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Identification of </w:t>
      </w:r>
      <w:r w:rsidRPr="003C5C76">
        <w:rPr>
          <w:rFonts w:cstheme="minorHAnsi"/>
          <w:b/>
          <w:color w:val="000000" w:themeColor="text1"/>
          <w:sz w:val="20"/>
        </w:rPr>
        <w:t>tourist support</w:t>
      </w:r>
      <w:r w:rsidRPr="003C5C76">
        <w:rPr>
          <w:rFonts w:cstheme="minorHAnsi"/>
          <w:color w:val="000000" w:themeColor="text1"/>
          <w:sz w:val="20"/>
        </w:rPr>
        <w:t xml:space="preserve"> </w:t>
      </w:r>
      <w:r w:rsidRPr="003C5C76">
        <w:rPr>
          <w:rFonts w:cstheme="minorHAnsi"/>
          <w:b/>
          <w:color w:val="000000" w:themeColor="text1"/>
          <w:sz w:val="20"/>
        </w:rPr>
        <w:t>services</w:t>
      </w:r>
      <w:r w:rsidRPr="003C5C76">
        <w:rPr>
          <w:rFonts w:cstheme="minorHAnsi"/>
          <w:color w:val="000000" w:themeColor="text1"/>
          <w:sz w:val="20"/>
        </w:rPr>
        <w:t xml:space="preserve"> in the targeted territories, consisting of: the accommodation</w:t>
      </w:r>
      <w:r w:rsidRPr="003C5C76">
        <w:rPr>
          <w:rStyle w:val="FootnoteReference"/>
          <w:rFonts w:asciiTheme="minorHAnsi" w:hAnsiTheme="minorHAnsi" w:cstheme="minorHAnsi"/>
          <w:color w:val="000000" w:themeColor="text1"/>
          <w:sz w:val="20"/>
        </w:rPr>
        <w:footnoteReference w:id="2"/>
      </w:r>
      <w:r w:rsidRPr="003C5C76">
        <w:rPr>
          <w:rFonts w:cstheme="minorHAnsi"/>
          <w:color w:val="000000" w:themeColor="text1"/>
          <w:sz w:val="20"/>
        </w:rPr>
        <w:t>, and restoration and gastronomic offer</w:t>
      </w:r>
      <w:r w:rsidRPr="003C5C76">
        <w:rPr>
          <w:rStyle w:val="FootnoteReference"/>
          <w:rFonts w:asciiTheme="minorHAnsi" w:hAnsiTheme="minorHAnsi" w:cstheme="minorHAnsi"/>
          <w:color w:val="000000" w:themeColor="text1"/>
          <w:sz w:val="20"/>
        </w:rPr>
        <w:footnoteReference w:id="3"/>
      </w:r>
      <w:r w:rsidRPr="003C5C76">
        <w:rPr>
          <w:rFonts w:cstheme="minorHAnsi"/>
          <w:color w:val="000000" w:themeColor="text1"/>
          <w:sz w:val="20"/>
        </w:rPr>
        <w:t xml:space="preserve">; tourism offices, local and incoming </w:t>
      </w:r>
      <w:r w:rsidRPr="003C5C76">
        <w:rPr>
          <w:rFonts w:cstheme="minorHAnsi"/>
          <w:color w:val="000000" w:themeColor="text1"/>
          <w:sz w:val="20"/>
        </w:rPr>
        <w:lastRenderedPageBreak/>
        <w:t>travel agencies, traveller services and other services such as local guides or hosts excursions or experiences, and car rental;</w:t>
      </w:r>
    </w:p>
    <w:p w14:paraId="6D043690" w14:textId="77777777"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Identification of activities related to adventure tourism that can be carried out in the targeted territories, valuing their importance according to the number of companies offering the activity, the existing demand, or the interest and/or growth potential;</w:t>
      </w:r>
    </w:p>
    <w:p w14:paraId="55AE1F68" w14:textId="6139D79D"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Identification of the </w:t>
      </w:r>
      <w:r w:rsidR="006D3D8D">
        <w:rPr>
          <w:rFonts w:cstheme="minorHAnsi"/>
          <w:color w:val="000000" w:themeColor="text1"/>
          <w:sz w:val="20"/>
        </w:rPr>
        <w:t>elements</w:t>
      </w:r>
      <w:r w:rsidRPr="003C5C76">
        <w:rPr>
          <w:rFonts w:cstheme="minorHAnsi"/>
          <w:color w:val="000000" w:themeColor="text1"/>
          <w:sz w:val="20"/>
        </w:rPr>
        <w:t xml:space="preserve"> to support adventure tourism and discovery of the territory, including amongst other: Museums, visitor and interpretation centres of the territory, tourism routes of interest, visit to local artisans, producers and cooperatives;</w:t>
      </w:r>
    </w:p>
    <w:p w14:paraId="13F7C49B" w14:textId="77777777"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Identification of </w:t>
      </w:r>
      <w:r w:rsidRPr="003C5C76">
        <w:rPr>
          <w:rFonts w:cstheme="minorHAnsi"/>
          <w:b/>
          <w:color w:val="000000" w:themeColor="text1"/>
          <w:sz w:val="20"/>
        </w:rPr>
        <w:t>stakeholders and agents</w:t>
      </w:r>
      <w:r w:rsidRPr="003C5C76">
        <w:rPr>
          <w:rFonts w:cstheme="minorHAnsi"/>
          <w:color w:val="000000" w:themeColor="text1"/>
          <w:sz w:val="20"/>
        </w:rPr>
        <w:t xml:space="preserve"> involved in adventure tourism for the targeted territories.</w:t>
      </w:r>
    </w:p>
    <w:p w14:paraId="233E3066" w14:textId="77777777" w:rsidR="00CD25C6" w:rsidRPr="003C5C76" w:rsidRDefault="00CD25C6" w:rsidP="00CD25C6">
      <w:pPr>
        <w:keepNext/>
        <w:rPr>
          <w:rFonts w:cstheme="minorHAnsi"/>
          <w:b/>
          <w:color w:val="000000" w:themeColor="text1"/>
          <w:sz w:val="20"/>
        </w:rPr>
      </w:pPr>
      <w:r w:rsidRPr="003C5C76">
        <w:rPr>
          <w:rFonts w:cstheme="minorHAnsi"/>
          <w:b/>
          <w:color w:val="000000" w:themeColor="text1"/>
          <w:sz w:val="20"/>
        </w:rPr>
        <w:t xml:space="preserve">To achieve RESULT Nº2: </w:t>
      </w:r>
    </w:p>
    <w:p w14:paraId="23D3747A" w14:textId="77777777"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 xml:space="preserve">General description of the territory, doing reference to the most remarkable tourism elements, as well as cities and towns interesting from a tourism and/or from a service provision perspective.   </w:t>
      </w:r>
    </w:p>
    <w:p w14:paraId="02282160" w14:textId="0EF350E5"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Environmental profile of the targeted territories, doing reference to flora and fauna, biodiversity areas, water and energy sources, waste management systems, protected areas and their governance, and other environmental considerations.</w:t>
      </w:r>
    </w:p>
    <w:p w14:paraId="58950410" w14:textId="77777777"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Legal framework affecting tourism activities in relation with nature and adventure;</w:t>
      </w:r>
    </w:p>
    <w:p w14:paraId="67C9CFC0" w14:textId="05908E6D" w:rsidR="00CD25C6" w:rsidRPr="003C5C76" w:rsidRDefault="00CD25C6" w:rsidP="00CD25C6">
      <w:pPr>
        <w:keepNext/>
        <w:numPr>
          <w:ilvl w:val="0"/>
          <w:numId w:val="19"/>
        </w:numPr>
        <w:spacing w:after="240" w:line="240" w:lineRule="auto"/>
        <w:jc w:val="both"/>
        <w:rPr>
          <w:rFonts w:cstheme="minorHAnsi"/>
          <w:color w:val="000000" w:themeColor="text1"/>
          <w:sz w:val="20"/>
        </w:rPr>
      </w:pPr>
      <w:r w:rsidRPr="003C5C76">
        <w:rPr>
          <w:rFonts w:cstheme="minorHAnsi"/>
          <w:color w:val="000000" w:themeColor="text1"/>
          <w:sz w:val="20"/>
        </w:rPr>
        <w:t>Socio-economic profile of the targeted territories and the role of tourism, consisting of understanding the economic and social system of the territory, and the role played by tourism (and in specific adventure tourism activities) as a driving force for economic development. The list of variables to explore (non-exhaustive list) are:</w:t>
      </w:r>
    </w:p>
    <w:p w14:paraId="4433E5D8" w14:textId="77777777" w:rsidR="00CD25C6" w:rsidRPr="003C5C76" w:rsidRDefault="00CD25C6" w:rsidP="00CD25C6">
      <w:pPr>
        <w:keepNext/>
        <w:numPr>
          <w:ilvl w:val="0"/>
          <w:numId w:val="20"/>
        </w:numPr>
        <w:spacing w:after="120" w:line="240" w:lineRule="auto"/>
        <w:ind w:left="1276" w:hanging="357"/>
        <w:jc w:val="both"/>
        <w:rPr>
          <w:rFonts w:cstheme="minorHAnsi"/>
          <w:color w:val="000000" w:themeColor="text1"/>
          <w:sz w:val="20"/>
        </w:rPr>
      </w:pPr>
      <w:r w:rsidRPr="003C5C76">
        <w:rPr>
          <w:rFonts w:cstheme="minorHAnsi"/>
          <w:color w:val="000000" w:themeColor="text1"/>
          <w:sz w:val="20"/>
        </w:rPr>
        <w:t>Economic structure;</w:t>
      </w:r>
    </w:p>
    <w:p w14:paraId="16057B4B" w14:textId="77777777" w:rsidR="00CD25C6" w:rsidRPr="003C5C76" w:rsidRDefault="00CD25C6" w:rsidP="00CD25C6">
      <w:pPr>
        <w:keepNext/>
        <w:numPr>
          <w:ilvl w:val="0"/>
          <w:numId w:val="20"/>
        </w:numPr>
        <w:spacing w:after="120" w:line="240" w:lineRule="auto"/>
        <w:ind w:left="1276" w:hanging="357"/>
        <w:jc w:val="both"/>
        <w:rPr>
          <w:rFonts w:cstheme="minorHAnsi"/>
          <w:color w:val="000000" w:themeColor="text1"/>
          <w:sz w:val="20"/>
        </w:rPr>
      </w:pPr>
      <w:r w:rsidRPr="003C5C76">
        <w:rPr>
          <w:rFonts w:cstheme="minorHAnsi"/>
          <w:color w:val="000000" w:themeColor="text1"/>
          <w:sz w:val="20"/>
        </w:rPr>
        <w:t>Demographic evolution;</w:t>
      </w:r>
    </w:p>
    <w:p w14:paraId="6B57AE55" w14:textId="77777777" w:rsidR="00CD25C6" w:rsidRPr="003C5C76" w:rsidRDefault="00CD25C6" w:rsidP="00CD25C6">
      <w:pPr>
        <w:keepNext/>
        <w:numPr>
          <w:ilvl w:val="0"/>
          <w:numId w:val="20"/>
        </w:numPr>
        <w:spacing w:after="120" w:line="240" w:lineRule="auto"/>
        <w:ind w:left="1276" w:hanging="357"/>
        <w:jc w:val="both"/>
        <w:rPr>
          <w:rFonts w:cstheme="minorHAnsi"/>
          <w:color w:val="000000" w:themeColor="text1"/>
          <w:sz w:val="20"/>
        </w:rPr>
      </w:pPr>
      <w:r w:rsidRPr="003C5C76">
        <w:rPr>
          <w:rFonts w:cstheme="minorHAnsi"/>
          <w:color w:val="000000" w:themeColor="text1"/>
          <w:sz w:val="20"/>
        </w:rPr>
        <w:t xml:space="preserve">Occupation; </w:t>
      </w:r>
    </w:p>
    <w:p w14:paraId="1DC7D4AA" w14:textId="77777777" w:rsidR="00CD25C6" w:rsidRPr="003C5C76" w:rsidRDefault="00CD25C6" w:rsidP="00CD25C6">
      <w:pPr>
        <w:keepNext/>
        <w:numPr>
          <w:ilvl w:val="0"/>
          <w:numId w:val="20"/>
        </w:numPr>
        <w:spacing w:after="120" w:line="240" w:lineRule="auto"/>
        <w:ind w:left="1276" w:hanging="357"/>
        <w:jc w:val="both"/>
        <w:rPr>
          <w:rFonts w:cstheme="minorHAnsi"/>
          <w:color w:val="000000" w:themeColor="text1"/>
          <w:sz w:val="20"/>
        </w:rPr>
      </w:pPr>
      <w:r w:rsidRPr="003C5C76">
        <w:rPr>
          <w:rFonts w:cstheme="minorHAnsi"/>
          <w:color w:val="000000" w:themeColor="text1"/>
          <w:sz w:val="20"/>
        </w:rPr>
        <w:t>Engines of local economy;</w:t>
      </w:r>
    </w:p>
    <w:p w14:paraId="163632E3" w14:textId="77777777" w:rsidR="00CD25C6" w:rsidRPr="003C5C76" w:rsidRDefault="00CD25C6" w:rsidP="00CD25C6">
      <w:pPr>
        <w:keepNext/>
        <w:numPr>
          <w:ilvl w:val="0"/>
          <w:numId w:val="20"/>
        </w:numPr>
        <w:spacing w:after="120" w:line="240" w:lineRule="auto"/>
        <w:ind w:left="1276" w:hanging="357"/>
        <w:jc w:val="both"/>
        <w:rPr>
          <w:rFonts w:cstheme="minorHAnsi"/>
          <w:color w:val="000000" w:themeColor="text1"/>
          <w:sz w:val="20"/>
        </w:rPr>
      </w:pPr>
      <w:r w:rsidRPr="003C5C76">
        <w:rPr>
          <w:rFonts w:cstheme="minorHAnsi"/>
          <w:color w:val="000000" w:themeColor="text1"/>
          <w:sz w:val="20"/>
        </w:rPr>
        <w:t>Weight and general dynamics of tourism;</w:t>
      </w:r>
    </w:p>
    <w:p w14:paraId="384AD9A0" w14:textId="77777777" w:rsidR="00CD25C6" w:rsidRPr="003C5C76" w:rsidRDefault="00CD25C6" w:rsidP="00CD25C6">
      <w:pPr>
        <w:keepNext/>
        <w:numPr>
          <w:ilvl w:val="0"/>
          <w:numId w:val="20"/>
        </w:numPr>
        <w:spacing w:after="120" w:line="240" w:lineRule="auto"/>
        <w:ind w:left="1276" w:hanging="357"/>
        <w:jc w:val="both"/>
        <w:rPr>
          <w:rFonts w:cstheme="minorHAnsi"/>
          <w:color w:val="000000" w:themeColor="text1"/>
          <w:sz w:val="20"/>
        </w:rPr>
      </w:pPr>
      <w:r w:rsidRPr="003C5C76">
        <w:rPr>
          <w:rFonts w:cstheme="minorHAnsi"/>
          <w:color w:val="000000" w:themeColor="text1"/>
          <w:sz w:val="20"/>
        </w:rPr>
        <w:t xml:space="preserve">Gender dimension of tourism. </w:t>
      </w:r>
    </w:p>
    <w:p w14:paraId="2A8B9A94" w14:textId="77777777" w:rsidR="00CD25C6" w:rsidRPr="003C5C76" w:rsidRDefault="00CD25C6" w:rsidP="00473F61">
      <w:pPr>
        <w:pStyle w:val="Heading2"/>
        <w:spacing w:after="120"/>
        <w:rPr>
          <w:rFonts w:asciiTheme="minorHAnsi" w:hAnsiTheme="minorHAnsi" w:cstheme="minorHAnsi"/>
          <w:b/>
          <w:color w:val="000000" w:themeColor="text1"/>
          <w:sz w:val="20"/>
          <w:szCs w:val="22"/>
        </w:rPr>
      </w:pPr>
      <w:r w:rsidRPr="003C5C76">
        <w:rPr>
          <w:rFonts w:asciiTheme="minorHAnsi" w:hAnsiTheme="minorHAnsi" w:cstheme="minorHAnsi"/>
          <w:color w:val="000000" w:themeColor="text1"/>
          <w:sz w:val="20"/>
          <w:szCs w:val="22"/>
        </w:rPr>
        <w:t xml:space="preserve">In addition, the Consultants will: </w:t>
      </w:r>
    </w:p>
    <w:p w14:paraId="48B5F63C" w14:textId="6648906A" w:rsidR="00CD25C6" w:rsidRPr="00473F61" w:rsidRDefault="00CD25C6" w:rsidP="0007791B">
      <w:pPr>
        <w:keepNext/>
        <w:numPr>
          <w:ilvl w:val="0"/>
          <w:numId w:val="19"/>
        </w:numPr>
        <w:spacing w:after="240" w:line="240" w:lineRule="auto"/>
        <w:jc w:val="both"/>
        <w:rPr>
          <w:rFonts w:cstheme="minorHAnsi"/>
          <w:color w:val="ED7D31" w:themeColor="accent2"/>
          <w:sz w:val="20"/>
        </w:rPr>
      </w:pPr>
      <w:r w:rsidRPr="003C5C76">
        <w:rPr>
          <w:rFonts w:cstheme="minorHAnsi"/>
          <w:color w:val="000000" w:themeColor="text1"/>
          <w:sz w:val="20"/>
        </w:rPr>
        <w:t xml:space="preserve">Present the results of consultancy (RESULT Nº1 and Nº2) to key stakeholders during a local closure workshop organised by </w:t>
      </w:r>
      <w:r w:rsidR="0007791B" w:rsidRPr="004E7613">
        <w:rPr>
          <w:rFonts w:cstheme="minorHAnsi"/>
          <w:sz w:val="20"/>
        </w:rPr>
        <w:t>Ren</w:t>
      </w:r>
      <w:r w:rsidR="003C5C76" w:rsidRPr="004E7613">
        <w:rPr>
          <w:rFonts w:cstheme="minorHAnsi"/>
          <w:sz w:val="20"/>
        </w:rPr>
        <w:t>é</w:t>
      </w:r>
      <w:r w:rsidR="0007791B" w:rsidRPr="004E7613">
        <w:rPr>
          <w:rFonts w:cstheme="minorHAnsi"/>
          <w:sz w:val="20"/>
        </w:rPr>
        <w:t xml:space="preserve"> Moawad Foundation</w:t>
      </w:r>
      <w:r w:rsidR="00473F61" w:rsidRPr="004E7613">
        <w:rPr>
          <w:rFonts w:cstheme="minorHAnsi"/>
          <w:sz w:val="20"/>
        </w:rPr>
        <w:t xml:space="preserve"> </w:t>
      </w:r>
      <w:r w:rsidR="004E7613" w:rsidRPr="004E7613">
        <w:rPr>
          <w:rFonts w:cstheme="minorHAnsi"/>
          <w:color w:val="000000" w:themeColor="text1"/>
          <w:sz w:val="20"/>
        </w:rPr>
        <w:t>in</w:t>
      </w:r>
      <w:r w:rsidR="00473F61" w:rsidRPr="004E7613">
        <w:rPr>
          <w:rFonts w:cstheme="minorHAnsi"/>
          <w:color w:val="ED7D31" w:themeColor="accent2"/>
          <w:sz w:val="20"/>
        </w:rPr>
        <w:t xml:space="preserve"> </w:t>
      </w:r>
      <w:r w:rsidR="0007791B" w:rsidRPr="004E7613">
        <w:rPr>
          <w:rFonts w:cstheme="minorHAnsi"/>
          <w:sz w:val="20"/>
        </w:rPr>
        <w:t>Lebanon</w:t>
      </w:r>
      <w:r w:rsidR="00473F61" w:rsidRPr="004E7613">
        <w:rPr>
          <w:rFonts w:cstheme="minorHAnsi"/>
          <w:sz w:val="20"/>
        </w:rPr>
        <w:t xml:space="preserve"> </w:t>
      </w:r>
      <w:r w:rsidR="00473F61" w:rsidRPr="00473F61">
        <w:rPr>
          <w:rFonts w:cstheme="minorHAnsi"/>
          <w:sz w:val="20"/>
        </w:rPr>
        <w:t xml:space="preserve"> </w:t>
      </w:r>
    </w:p>
    <w:p w14:paraId="07B426CE" w14:textId="6314EBB5" w:rsidR="00CD25C6" w:rsidRPr="004E7613" w:rsidRDefault="00CD25C6" w:rsidP="00CD25C6">
      <w:pPr>
        <w:keepNext/>
        <w:numPr>
          <w:ilvl w:val="0"/>
          <w:numId w:val="19"/>
        </w:numPr>
        <w:spacing w:after="240" w:line="240" w:lineRule="auto"/>
        <w:jc w:val="both"/>
        <w:rPr>
          <w:rFonts w:cstheme="minorHAnsi"/>
          <w:color w:val="000000" w:themeColor="text1"/>
          <w:sz w:val="20"/>
        </w:rPr>
      </w:pPr>
      <w:r w:rsidRPr="004E7613">
        <w:rPr>
          <w:rFonts w:cstheme="minorHAnsi"/>
          <w:color w:val="000000" w:themeColor="text1"/>
          <w:sz w:val="20"/>
        </w:rPr>
        <w:t xml:space="preserve">Prepare all the reports as specified under </w:t>
      </w:r>
      <w:r w:rsidR="00473F61" w:rsidRPr="004E7613">
        <w:rPr>
          <w:rFonts w:cstheme="minorHAnsi"/>
          <w:color w:val="000000" w:themeColor="text1"/>
          <w:sz w:val="20"/>
        </w:rPr>
        <w:t xml:space="preserve">the </w:t>
      </w:r>
      <w:r w:rsidRPr="004E7613">
        <w:rPr>
          <w:rFonts w:cstheme="minorHAnsi"/>
          <w:color w:val="000000" w:themeColor="text1"/>
          <w:sz w:val="20"/>
        </w:rPr>
        <w:t>section</w:t>
      </w:r>
      <w:r w:rsidR="00473F61" w:rsidRPr="004E7613">
        <w:rPr>
          <w:rFonts w:cstheme="minorHAnsi"/>
          <w:color w:val="000000" w:themeColor="text1"/>
          <w:sz w:val="20"/>
        </w:rPr>
        <w:t xml:space="preserve"> on</w:t>
      </w:r>
      <w:r w:rsidRPr="004E7613">
        <w:rPr>
          <w:rFonts w:cstheme="minorHAnsi"/>
          <w:color w:val="000000" w:themeColor="text1"/>
          <w:sz w:val="20"/>
        </w:rPr>
        <w:t xml:space="preserve"> </w:t>
      </w:r>
      <w:r w:rsidR="00473F61" w:rsidRPr="004E7613">
        <w:rPr>
          <w:rFonts w:cstheme="minorHAnsi"/>
          <w:color w:val="000000" w:themeColor="text1"/>
          <w:sz w:val="20"/>
        </w:rPr>
        <w:t>‘’Reporting requirements’’</w:t>
      </w:r>
      <w:r w:rsidRPr="004E7613">
        <w:rPr>
          <w:rFonts w:cstheme="minorHAnsi"/>
          <w:color w:val="000000" w:themeColor="text1"/>
          <w:sz w:val="20"/>
        </w:rPr>
        <w:t>.</w:t>
      </w:r>
    </w:p>
    <w:p w14:paraId="60987487" w14:textId="2541597F" w:rsidR="00CD25C6" w:rsidRPr="004E7613" w:rsidRDefault="00CD25C6" w:rsidP="00CD25C6">
      <w:pPr>
        <w:rPr>
          <w:rFonts w:cstheme="minorHAnsi"/>
          <w:b/>
          <w:color w:val="000000" w:themeColor="text1"/>
          <w:sz w:val="20"/>
        </w:rPr>
      </w:pPr>
      <w:r w:rsidRPr="004E7613">
        <w:rPr>
          <w:rFonts w:cstheme="minorHAnsi"/>
          <w:color w:val="000000" w:themeColor="text1"/>
          <w:sz w:val="20"/>
        </w:rPr>
        <w:t xml:space="preserve">In undertaking the tasks described under this section, the Consultants must comply with the latest Communication and Visibility Manual for EU External Actions concerning acknowledgement of EU financing of the project. See </w:t>
      </w:r>
      <w:hyperlink r:id="rId9" w:history="1">
        <w:r w:rsidRPr="004E7613">
          <w:rPr>
            <w:rFonts w:cstheme="minorHAnsi"/>
            <w:color w:val="000000" w:themeColor="text1"/>
            <w:sz w:val="20"/>
          </w:rPr>
          <w:t>https://ec.europa.eu/europeaid/communication-and-visibility-manual-eu-external-actions_en</w:t>
        </w:r>
      </w:hyperlink>
      <w:r w:rsidRPr="004E7613">
        <w:rPr>
          <w:rFonts w:cstheme="minorHAnsi"/>
          <w:color w:val="000000" w:themeColor="text1"/>
          <w:sz w:val="20"/>
        </w:rPr>
        <w:t>.</w:t>
      </w:r>
    </w:p>
    <w:p w14:paraId="10326F66" w14:textId="6F96A941" w:rsidR="00CD25C6" w:rsidRPr="00CD25C6" w:rsidRDefault="00CD25C6">
      <w:pPr>
        <w:rPr>
          <w:rFonts w:cstheme="minorHAnsi"/>
          <w:b/>
          <w:color w:val="000000" w:themeColor="text1"/>
        </w:rPr>
      </w:pPr>
      <w:r w:rsidRPr="00CD25C6">
        <w:rPr>
          <w:rFonts w:cstheme="minorHAnsi"/>
          <w:b/>
          <w:color w:val="000000" w:themeColor="text1"/>
        </w:rPr>
        <w:t>Start date and period of implementation of the tasks</w:t>
      </w:r>
    </w:p>
    <w:p w14:paraId="01E82777" w14:textId="02DDED0B" w:rsidR="00CD25C6" w:rsidRPr="004E7613" w:rsidRDefault="00CD25C6" w:rsidP="00CD25C6">
      <w:pPr>
        <w:jc w:val="both"/>
        <w:rPr>
          <w:rFonts w:cstheme="minorHAnsi"/>
          <w:color w:val="000000" w:themeColor="text1"/>
          <w:sz w:val="20"/>
        </w:rPr>
      </w:pPr>
      <w:r w:rsidRPr="004E7613">
        <w:rPr>
          <w:rFonts w:cstheme="minorHAnsi"/>
          <w:color w:val="000000" w:themeColor="text1"/>
          <w:sz w:val="20"/>
        </w:rPr>
        <w:lastRenderedPageBreak/>
        <w:t>The intended start date is January 2, 2020 and the period of implementation of the contract will be 3 months from this date.</w:t>
      </w:r>
    </w:p>
    <w:p w14:paraId="7CD19179" w14:textId="427A67C5" w:rsidR="00CD25C6" w:rsidRPr="004E7613" w:rsidRDefault="00CD25C6" w:rsidP="00CD25C6">
      <w:pPr>
        <w:rPr>
          <w:rFonts w:cstheme="minorHAnsi"/>
          <w:b/>
          <w:color w:val="000000" w:themeColor="text1"/>
        </w:rPr>
      </w:pPr>
      <w:r w:rsidRPr="004E7613">
        <w:rPr>
          <w:rFonts w:cstheme="minorHAnsi"/>
          <w:b/>
          <w:color w:val="000000" w:themeColor="text1"/>
        </w:rPr>
        <w:t>Reporting requirements</w:t>
      </w:r>
    </w:p>
    <w:p w14:paraId="2AA181E6" w14:textId="109501F7" w:rsidR="00CD25C6" w:rsidRPr="004E7613" w:rsidRDefault="00CD25C6" w:rsidP="00CD25C6">
      <w:pPr>
        <w:rPr>
          <w:rFonts w:cstheme="minorHAnsi"/>
          <w:color w:val="000000" w:themeColor="text1"/>
          <w:sz w:val="20"/>
        </w:rPr>
      </w:pPr>
      <w:r w:rsidRPr="004E7613">
        <w:rPr>
          <w:rFonts w:cstheme="minorHAnsi"/>
          <w:color w:val="000000" w:themeColor="text1"/>
          <w:sz w:val="20"/>
        </w:rPr>
        <w:t>The contractor will submit the following reports in English in Electronic format:</w:t>
      </w:r>
    </w:p>
    <w:p w14:paraId="11011346" w14:textId="17E923E5" w:rsidR="00CD25C6" w:rsidRPr="004E7613" w:rsidRDefault="00CD25C6" w:rsidP="00473F61">
      <w:pPr>
        <w:pStyle w:val="ListBullet"/>
        <w:rPr>
          <w:rFonts w:asciiTheme="minorHAnsi" w:hAnsiTheme="minorHAnsi" w:cstheme="minorHAnsi"/>
          <w:color w:val="000000" w:themeColor="text1"/>
          <w:sz w:val="20"/>
          <w:szCs w:val="22"/>
        </w:rPr>
      </w:pPr>
      <w:r w:rsidRPr="004E7613">
        <w:rPr>
          <w:rFonts w:asciiTheme="minorHAnsi" w:hAnsiTheme="minorHAnsi" w:cstheme="minorHAnsi"/>
          <w:b/>
          <w:bCs/>
          <w:color w:val="000000" w:themeColor="text1"/>
          <w:sz w:val="20"/>
          <w:szCs w:val="22"/>
        </w:rPr>
        <w:t>Inception Report</w:t>
      </w:r>
      <w:r w:rsidRPr="004E7613">
        <w:rPr>
          <w:rFonts w:asciiTheme="minorHAnsi" w:hAnsiTheme="minorHAnsi" w:cstheme="minorHAnsi"/>
          <w:color w:val="000000" w:themeColor="text1"/>
          <w:sz w:val="20"/>
          <w:szCs w:val="22"/>
        </w:rPr>
        <w:t xml:space="preserve"> of maximum 10 pages to be produced within one week after the local kick-off workshop organised with key stakeholders. </w:t>
      </w:r>
      <w:r w:rsidR="00473F61" w:rsidRPr="004E7613">
        <w:rPr>
          <w:rFonts w:asciiTheme="minorHAnsi" w:hAnsiTheme="minorHAnsi" w:cstheme="minorHAnsi"/>
          <w:color w:val="000000" w:themeColor="text1"/>
          <w:sz w:val="20"/>
          <w:szCs w:val="22"/>
        </w:rPr>
        <w:t xml:space="preserve">In the report, the contractor shall describe the updated </w:t>
      </w:r>
      <w:r w:rsidR="00473F61" w:rsidRPr="004E7613">
        <w:rPr>
          <w:rFonts w:asciiTheme="minorHAnsi" w:hAnsiTheme="minorHAnsi" w:cstheme="minorHAnsi"/>
          <w:b/>
          <w:color w:val="000000" w:themeColor="text1"/>
          <w:sz w:val="20"/>
          <w:szCs w:val="22"/>
        </w:rPr>
        <w:t>organisation and methodology</w:t>
      </w:r>
      <w:r w:rsidR="00473F61" w:rsidRPr="004E7613">
        <w:rPr>
          <w:rFonts w:asciiTheme="minorHAnsi" w:hAnsiTheme="minorHAnsi" w:cstheme="minorHAnsi"/>
          <w:color w:val="000000" w:themeColor="text1"/>
          <w:sz w:val="20"/>
          <w:szCs w:val="22"/>
        </w:rPr>
        <w:t xml:space="preserve"> proposed according to the local workshop conclusions</w:t>
      </w:r>
      <w:r w:rsidR="00473F61" w:rsidRPr="004E7613">
        <w:rPr>
          <w:rFonts w:asciiTheme="minorHAnsi" w:eastAsiaTheme="minorHAnsi" w:hAnsiTheme="minorHAnsi" w:cstheme="minorHAnsi"/>
          <w:color w:val="000000" w:themeColor="text1"/>
          <w:sz w:val="20"/>
          <w:szCs w:val="22"/>
        </w:rPr>
        <w:t xml:space="preserve">. </w:t>
      </w:r>
      <w:r w:rsidRPr="004E7613">
        <w:rPr>
          <w:rFonts w:asciiTheme="minorHAnsi" w:eastAsiaTheme="minorHAnsi" w:hAnsiTheme="minorHAnsi" w:cstheme="minorHAnsi"/>
          <w:color w:val="000000" w:themeColor="text1"/>
          <w:sz w:val="20"/>
          <w:szCs w:val="22"/>
        </w:rPr>
        <w:t>The contractor should proceed with his/her work unless the contracting authority sends comments on the inception report.</w:t>
      </w:r>
      <w:r w:rsidRPr="004E7613">
        <w:rPr>
          <w:color w:val="000000" w:themeColor="text1"/>
          <w:sz w:val="20"/>
          <w:szCs w:val="22"/>
        </w:rPr>
        <w:t xml:space="preserve"> </w:t>
      </w:r>
    </w:p>
    <w:p w14:paraId="714D192D" w14:textId="4AC616A5" w:rsidR="00CD25C6" w:rsidRPr="004E7613" w:rsidRDefault="00CD25C6" w:rsidP="00CD25C6">
      <w:pPr>
        <w:pStyle w:val="ListBullet"/>
        <w:numPr>
          <w:ilvl w:val="0"/>
          <w:numId w:val="16"/>
        </w:numPr>
        <w:rPr>
          <w:rFonts w:asciiTheme="minorHAnsi" w:eastAsiaTheme="minorHAnsi" w:hAnsiTheme="minorHAnsi" w:cstheme="minorHAnsi"/>
          <w:color w:val="000000" w:themeColor="text1"/>
          <w:sz w:val="20"/>
          <w:szCs w:val="22"/>
        </w:rPr>
      </w:pPr>
      <w:r w:rsidRPr="004E7613">
        <w:rPr>
          <w:rFonts w:asciiTheme="minorHAnsi" w:eastAsiaTheme="minorHAnsi" w:hAnsiTheme="minorHAnsi" w:cstheme="minorHAnsi"/>
          <w:b/>
          <w:color w:val="000000" w:themeColor="text1"/>
          <w:sz w:val="20"/>
          <w:szCs w:val="22"/>
        </w:rPr>
        <w:t xml:space="preserve">Draft </w:t>
      </w:r>
      <w:r w:rsidR="00473F61" w:rsidRPr="004E7613">
        <w:rPr>
          <w:rFonts w:asciiTheme="minorHAnsi" w:eastAsiaTheme="minorHAnsi" w:hAnsiTheme="minorHAnsi" w:cstheme="minorHAnsi"/>
          <w:b/>
          <w:color w:val="000000" w:themeColor="text1"/>
          <w:sz w:val="20"/>
          <w:szCs w:val="22"/>
        </w:rPr>
        <w:t>F</w:t>
      </w:r>
      <w:r w:rsidRPr="004E7613">
        <w:rPr>
          <w:rFonts w:asciiTheme="minorHAnsi" w:eastAsiaTheme="minorHAnsi" w:hAnsiTheme="minorHAnsi" w:cstheme="minorHAnsi"/>
          <w:b/>
          <w:color w:val="000000" w:themeColor="text1"/>
          <w:sz w:val="20"/>
          <w:szCs w:val="22"/>
        </w:rPr>
        <w:t xml:space="preserve">inal </w:t>
      </w:r>
      <w:r w:rsidR="00473F61" w:rsidRPr="004E7613">
        <w:rPr>
          <w:rFonts w:asciiTheme="minorHAnsi" w:eastAsiaTheme="minorHAnsi" w:hAnsiTheme="minorHAnsi" w:cstheme="minorHAnsi"/>
          <w:b/>
          <w:color w:val="000000" w:themeColor="text1"/>
          <w:sz w:val="20"/>
          <w:szCs w:val="22"/>
        </w:rPr>
        <w:t>R</w:t>
      </w:r>
      <w:r w:rsidRPr="004E7613">
        <w:rPr>
          <w:rFonts w:asciiTheme="minorHAnsi" w:eastAsiaTheme="minorHAnsi" w:hAnsiTheme="minorHAnsi" w:cstheme="minorHAnsi"/>
          <w:b/>
          <w:color w:val="000000" w:themeColor="text1"/>
          <w:sz w:val="20"/>
          <w:szCs w:val="22"/>
        </w:rPr>
        <w:t>eport</w:t>
      </w:r>
      <w:r w:rsidRPr="004E7613">
        <w:rPr>
          <w:rFonts w:asciiTheme="minorHAnsi" w:eastAsiaTheme="minorHAnsi" w:hAnsiTheme="minorHAnsi" w:cstheme="minorHAnsi"/>
          <w:color w:val="000000" w:themeColor="text1"/>
          <w:sz w:val="20"/>
          <w:szCs w:val="22"/>
        </w:rPr>
        <w:t xml:space="preserve"> in the format given in </w:t>
      </w:r>
      <w:r w:rsidRPr="004E7613">
        <w:rPr>
          <w:rFonts w:asciiTheme="minorHAnsi" w:eastAsiaTheme="minorHAnsi" w:hAnsiTheme="minorHAnsi" w:cstheme="minorHAnsi"/>
          <w:b/>
          <w:color w:val="000000" w:themeColor="text1"/>
          <w:sz w:val="20"/>
          <w:szCs w:val="22"/>
          <w:u w:val="single"/>
        </w:rPr>
        <w:t>annex 2</w:t>
      </w:r>
      <w:r w:rsidRPr="004E7613">
        <w:rPr>
          <w:rFonts w:asciiTheme="minorHAnsi" w:eastAsiaTheme="minorHAnsi" w:hAnsiTheme="minorHAnsi" w:cstheme="minorHAnsi"/>
          <w:color w:val="000000" w:themeColor="text1"/>
          <w:sz w:val="20"/>
          <w:szCs w:val="22"/>
        </w:rPr>
        <w:t xml:space="preserve">. This report shall be submitted no later than </w:t>
      </w:r>
      <w:r w:rsidR="00193779" w:rsidRPr="004E7613">
        <w:rPr>
          <w:rFonts w:asciiTheme="minorHAnsi" w:eastAsiaTheme="minorHAnsi" w:hAnsiTheme="minorHAnsi" w:cstheme="minorHAnsi"/>
          <w:color w:val="000000" w:themeColor="text1"/>
          <w:sz w:val="20"/>
          <w:szCs w:val="22"/>
        </w:rPr>
        <w:t>two weeks</w:t>
      </w:r>
      <w:r w:rsidRPr="004E7613">
        <w:rPr>
          <w:rFonts w:asciiTheme="minorHAnsi" w:eastAsiaTheme="minorHAnsi" w:hAnsiTheme="minorHAnsi" w:cstheme="minorHAnsi"/>
          <w:color w:val="000000" w:themeColor="text1"/>
          <w:sz w:val="20"/>
          <w:szCs w:val="22"/>
        </w:rPr>
        <w:t xml:space="preserve"> before the end of the period of implementation of tasks.</w:t>
      </w:r>
    </w:p>
    <w:p w14:paraId="35CBCEC1" w14:textId="77777777" w:rsidR="00CD25C6" w:rsidRPr="004E7613" w:rsidRDefault="00CD25C6" w:rsidP="00CD25C6">
      <w:pPr>
        <w:pStyle w:val="ListBullet"/>
        <w:numPr>
          <w:ilvl w:val="0"/>
          <w:numId w:val="16"/>
        </w:numPr>
        <w:rPr>
          <w:rFonts w:asciiTheme="minorHAnsi" w:eastAsiaTheme="minorHAnsi" w:hAnsiTheme="minorHAnsi" w:cstheme="minorHAnsi"/>
          <w:color w:val="000000" w:themeColor="text1"/>
          <w:sz w:val="20"/>
          <w:szCs w:val="22"/>
        </w:rPr>
      </w:pPr>
      <w:r w:rsidRPr="004E7613">
        <w:rPr>
          <w:rFonts w:asciiTheme="minorHAnsi" w:eastAsiaTheme="minorHAnsi" w:hAnsiTheme="minorHAnsi" w:cstheme="minorHAnsi"/>
          <w:b/>
          <w:color w:val="000000" w:themeColor="text1"/>
          <w:sz w:val="20"/>
          <w:szCs w:val="22"/>
        </w:rPr>
        <w:t>Final report</w:t>
      </w:r>
      <w:r w:rsidRPr="004E7613">
        <w:rPr>
          <w:rFonts w:asciiTheme="minorHAnsi" w:eastAsiaTheme="minorHAnsi" w:hAnsiTheme="minorHAnsi" w:cstheme="minorHAnsi"/>
          <w:color w:val="000000" w:themeColor="text1"/>
          <w:sz w:val="20"/>
          <w:szCs w:val="22"/>
        </w:rPr>
        <w:t xml:space="preserve"> with the same specifications as the draft final report, incorporating any comments received from the parties on the draft report. The deadline for sending the final report is 7 days after receipt of comments on the draft final report. The report shall contain a sufficiently detailed description of the different options to support an informed decision on the touristic potential of the targeted territory within the niche of adventure tourism, understanding the opportunities and threats ahead. The detailed analyses underpinning the recommendations will be presented in annexes to the main report. The final report must be provided along with the corresponding invoice. </w:t>
      </w:r>
    </w:p>
    <w:p w14:paraId="37FC49B5" w14:textId="43C65CE4" w:rsidR="00473F61" w:rsidRPr="004E7613" w:rsidRDefault="00473F61" w:rsidP="00473F61">
      <w:pPr>
        <w:rPr>
          <w:rFonts w:cstheme="minorHAnsi"/>
          <w:b/>
          <w:color w:val="000000" w:themeColor="text1"/>
        </w:rPr>
      </w:pPr>
      <w:r w:rsidRPr="004E7613">
        <w:rPr>
          <w:rFonts w:cstheme="minorHAnsi"/>
          <w:b/>
          <w:color w:val="000000" w:themeColor="text1"/>
        </w:rPr>
        <w:t>Special requirements</w:t>
      </w:r>
    </w:p>
    <w:p w14:paraId="45501B8A" w14:textId="77777777" w:rsidR="00473F61" w:rsidRPr="004E7613" w:rsidRDefault="00473F61" w:rsidP="00473F61">
      <w:pPr>
        <w:pStyle w:val="Heading2"/>
        <w:jc w:val="both"/>
        <w:rPr>
          <w:rFonts w:asciiTheme="minorHAnsi" w:hAnsiTheme="minorHAnsi" w:cstheme="minorHAnsi"/>
          <w:b/>
          <w:color w:val="000000" w:themeColor="text1"/>
          <w:sz w:val="20"/>
          <w:szCs w:val="20"/>
        </w:rPr>
      </w:pPr>
      <w:r w:rsidRPr="004E7613">
        <w:rPr>
          <w:rFonts w:asciiTheme="minorHAnsi" w:hAnsiTheme="minorHAnsi" w:cstheme="minorHAnsi"/>
          <w:color w:val="000000" w:themeColor="text1"/>
          <w:sz w:val="20"/>
          <w:szCs w:val="20"/>
        </w:rPr>
        <w:t>The Contractor should place special emphasis on ensuring a wide consultation among key stakeholders, especially, local communities, tourism industry and government. While conducting the tourism assessment, it is important for the Contracting Authority to brainstorm about who to specifically consult with, and how to best engage those individuals or groups in the MEDUSA project.</w:t>
      </w:r>
    </w:p>
    <w:p w14:paraId="431625DA" w14:textId="0741F337" w:rsidR="00193779" w:rsidRPr="00607160" w:rsidRDefault="00473F61" w:rsidP="00607160">
      <w:pPr>
        <w:pStyle w:val="Text2"/>
        <w:ind w:left="0"/>
        <w:rPr>
          <w:rFonts w:asciiTheme="minorHAnsi" w:hAnsiTheme="minorHAnsi" w:cstheme="minorHAnsi"/>
          <w:color w:val="000000" w:themeColor="text1"/>
        </w:rPr>
      </w:pPr>
      <w:r w:rsidRPr="004E7613">
        <w:rPr>
          <w:rFonts w:asciiTheme="minorHAnsi" w:hAnsiTheme="minorHAnsi" w:cstheme="minorHAnsi"/>
          <w:color w:val="000000" w:themeColor="text1"/>
        </w:rPr>
        <w:t xml:space="preserve">The Contractor must ensure that adequate visibility of the EU under the programme of which the project is part through its implementation.  </w:t>
      </w:r>
    </w:p>
    <w:p w14:paraId="4516E866" w14:textId="77777777" w:rsidR="00473F61" w:rsidRPr="00D0201F" w:rsidRDefault="00473F61" w:rsidP="00193779">
      <w:pPr>
        <w:pStyle w:val="ListParagraph"/>
        <w:numPr>
          <w:ilvl w:val="0"/>
          <w:numId w:val="10"/>
        </w:numPr>
        <w:rPr>
          <w:b/>
        </w:rPr>
      </w:pPr>
      <w:r w:rsidRPr="00D0201F">
        <w:rPr>
          <w:b/>
        </w:rPr>
        <w:t>ADDITIONAL INFORMATION</w:t>
      </w:r>
    </w:p>
    <w:p w14:paraId="2F931D54" w14:textId="77777777" w:rsidR="00193779" w:rsidRDefault="00193779" w:rsidP="00473F61">
      <w:pPr>
        <w:spacing w:after="100"/>
      </w:pPr>
    </w:p>
    <w:p w14:paraId="1ADE7264" w14:textId="7FA672E8" w:rsidR="00473F61" w:rsidRPr="00285339" w:rsidRDefault="00473F61" w:rsidP="00473F61">
      <w:pPr>
        <w:spacing w:after="100"/>
      </w:pPr>
      <w:r w:rsidRPr="00285339">
        <w:t>The selection criteria are:</w:t>
      </w:r>
    </w:p>
    <w:p w14:paraId="06CC71E4" w14:textId="77777777" w:rsidR="006B61D3" w:rsidRPr="004E7613" w:rsidRDefault="006B61D3" w:rsidP="006B61D3">
      <w:pPr>
        <w:spacing w:after="200"/>
        <w:jc w:val="both"/>
        <w:rPr>
          <w:b/>
          <w:color w:val="000000" w:themeColor="text1"/>
        </w:rPr>
      </w:pPr>
      <w:r w:rsidRPr="004E7613">
        <w:rPr>
          <w:b/>
          <w:color w:val="000000" w:themeColor="text1"/>
        </w:rPr>
        <w:t>Economic and financial standing:</w:t>
      </w:r>
    </w:p>
    <w:p w14:paraId="67826E4D" w14:textId="274E6BDB" w:rsidR="006B61D3" w:rsidRPr="004E7613" w:rsidRDefault="006B61D3" w:rsidP="006B61D3">
      <w:pPr>
        <w:pStyle w:val="ListParagraph"/>
        <w:numPr>
          <w:ilvl w:val="0"/>
          <w:numId w:val="22"/>
        </w:numPr>
        <w:spacing w:after="200"/>
        <w:jc w:val="both"/>
        <w:rPr>
          <w:color w:val="000000" w:themeColor="text1"/>
          <w:sz w:val="22"/>
          <w:szCs w:val="22"/>
        </w:rPr>
      </w:pPr>
      <w:r w:rsidRPr="004E7613">
        <w:rPr>
          <w:color w:val="000000" w:themeColor="text1"/>
          <w:sz w:val="22"/>
          <w:szCs w:val="22"/>
        </w:rPr>
        <w:t>The operating profit of the candidate must not have been negative over the past year;</w:t>
      </w:r>
    </w:p>
    <w:p w14:paraId="068C7652" w14:textId="7EBD7282" w:rsidR="006B61D3" w:rsidRPr="004E7613" w:rsidRDefault="006B61D3" w:rsidP="006B61D3">
      <w:pPr>
        <w:pStyle w:val="ListParagraph"/>
        <w:numPr>
          <w:ilvl w:val="0"/>
          <w:numId w:val="22"/>
        </w:numPr>
        <w:spacing w:after="200"/>
        <w:jc w:val="both"/>
        <w:rPr>
          <w:color w:val="000000" w:themeColor="text1"/>
          <w:sz w:val="22"/>
          <w:szCs w:val="22"/>
        </w:rPr>
      </w:pPr>
      <w:r w:rsidRPr="004E7613">
        <w:rPr>
          <w:color w:val="000000" w:themeColor="text1"/>
          <w:sz w:val="22"/>
          <w:szCs w:val="22"/>
        </w:rPr>
        <w:t xml:space="preserve">The candidate must have at least one year of existence. </w:t>
      </w:r>
    </w:p>
    <w:p w14:paraId="04BFE41E" w14:textId="77777777" w:rsidR="006B61D3" w:rsidRPr="004E7613" w:rsidRDefault="006B61D3" w:rsidP="006B61D3">
      <w:pPr>
        <w:spacing w:after="200"/>
        <w:jc w:val="both"/>
        <w:rPr>
          <w:b/>
          <w:color w:val="000000" w:themeColor="text1"/>
        </w:rPr>
      </w:pPr>
    </w:p>
    <w:p w14:paraId="79C50853" w14:textId="6C39E981" w:rsidR="006B61D3" w:rsidRPr="004E7613" w:rsidRDefault="006B61D3" w:rsidP="006B61D3">
      <w:pPr>
        <w:spacing w:after="200"/>
        <w:jc w:val="both"/>
        <w:rPr>
          <w:color w:val="000000" w:themeColor="text1"/>
        </w:rPr>
      </w:pPr>
      <w:r w:rsidRPr="004E7613">
        <w:rPr>
          <w:b/>
          <w:color w:val="000000" w:themeColor="text1"/>
        </w:rPr>
        <w:t>Technical Capacity:</w:t>
      </w:r>
    </w:p>
    <w:p w14:paraId="16B70BCB" w14:textId="77777777" w:rsidR="006B61D3" w:rsidRPr="004E7613" w:rsidRDefault="006B61D3" w:rsidP="006B61D3">
      <w:pPr>
        <w:pStyle w:val="ListParagraph"/>
        <w:numPr>
          <w:ilvl w:val="0"/>
          <w:numId w:val="22"/>
        </w:numPr>
        <w:spacing w:after="200"/>
        <w:jc w:val="both"/>
        <w:rPr>
          <w:color w:val="000000" w:themeColor="text1"/>
          <w:sz w:val="22"/>
          <w:szCs w:val="22"/>
        </w:rPr>
      </w:pPr>
      <w:r w:rsidRPr="004E7613">
        <w:rPr>
          <w:color w:val="000000" w:themeColor="text1"/>
          <w:sz w:val="22"/>
          <w:szCs w:val="22"/>
        </w:rPr>
        <w:t>At least 1 contract of similar nature undertaken in the past 3 years;</w:t>
      </w:r>
    </w:p>
    <w:p w14:paraId="3CB3DA66" w14:textId="28B59380" w:rsidR="006B61D3" w:rsidRPr="004E7613" w:rsidRDefault="006B61D3" w:rsidP="006B61D3">
      <w:pPr>
        <w:pStyle w:val="ListParagraph"/>
        <w:numPr>
          <w:ilvl w:val="0"/>
          <w:numId w:val="22"/>
        </w:numPr>
        <w:spacing w:after="200"/>
        <w:jc w:val="both"/>
        <w:rPr>
          <w:color w:val="000000" w:themeColor="text1"/>
          <w:sz w:val="22"/>
          <w:szCs w:val="22"/>
        </w:rPr>
      </w:pPr>
      <w:r w:rsidRPr="004E7613">
        <w:rPr>
          <w:color w:val="000000" w:themeColor="text1"/>
          <w:sz w:val="22"/>
          <w:szCs w:val="22"/>
        </w:rPr>
        <w:t xml:space="preserve">At least </w:t>
      </w:r>
      <w:r w:rsidR="005C54C0">
        <w:rPr>
          <w:color w:val="000000" w:themeColor="text1"/>
          <w:sz w:val="22"/>
          <w:szCs w:val="22"/>
        </w:rPr>
        <w:t>5</w:t>
      </w:r>
      <w:r w:rsidRPr="004E7613">
        <w:rPr>
          <w:color w:val="000000" w:themeColor="text1"/>
          <w:sz w:val="22"/>
          <w:szCs w:val="22"/>
        </w:rPr>
        <w:t xml:space="preserve"> years of professional experience in sustainable tourism development;</w:t>
      </w:r>
    </w:p>
    <w:p w14:paraId="759C1F39" w14:textId="297AC029" w:rsidR="006B61D3" w:rsidRPr="004E7613" w:rsidRDefault="006B61D3" w:rsidP="006B61D3">
      <w:pPr>
        <w:pStyle w:val="ListParagraph"/>
        <w:numPr>
          <w:ilvl w:val="0"/>
          <w:numId w:val="22"/>
        </w:numPr>
        <w:spacing w:after="200"/>
        <w:jc w:val="both"/>
        <w:rPr>
          <w:color w:val="000000" w:themeColor="text1"/>
          <w:sz w:val="22"/>
        </w:rPr>
      </w:pPr>
      <w:r w:rsidRPr="004E7613">
        <w:rPr>
          <w:color w:val="000000" w:themeColor="text1"/>
          <w:sz w:val="22"/>
          <w:szCs w:val="22"/>
        </w:rPr>
        <w:t xml:space="preserve">Graduated Studies in Tourism &amp; Hospitality, Economics or similar; </w:t>
      </w:r>
      <w:r w:rsidRPr="004E7613">
        <w:rPr>
          <w:color w:val="000000" w:themeColor="text1"/>
          <w:sz w:val="21"/>
        </w:rPr>
        <w:t xml:space="preserve"> </w:t>
      </w:r>
    </w:p>
    <w:p w14:paraId="5F37558D" w14:textId="36597B9B" w:rsidR="006B61D3" w:rsidRPr="004E7613" w:rsidRDefault="006B61D3" w:rsidP="00473F61">
      <w:pPr>
        <w:pStyle w:val="ListParagraph"/>
        <w:numPr>
          <w:ilvl w:val="0"/>
          <w:numId w:val="22"/>
        </w:numPr>
        <w:spacing w:after="200"/>
        <w:jc w:val="both"/>
        <w:rPr>
          <w:color w:val="000000" w:themeColor="text1"/>
          <w:sz w:val="22"/>
        </w:rPr>
      </w:pPr>
      <w:r w:rsidRPr="004E7613">
        <w:rPr>
          <w:color w:val="000000" w:themeColor="text1"/>
          <w:sz w:val="22"/>
        </w:rPr>
        <w:t xml:space="preserve">Excellent reporting skills in English. </w:t>
      </w:r>
    </w:p>
    <w:p w14:paraId="70BDE8BD" w14:textId="77777777" w:rsidR="00473F61" w:rsidRPr="00285339" w:rsidRDefault="00473F61" w:rsidP="00473F61">
      <w:pPr>
        <w:spacing w:after="100"/>
      </w:pPr>
      <w:r w:rsidRPr="00285339">
        <w:lastRenderedPageBreak/>
        <w:t>The award criterion is:</w:t>
      </w:r>
    </w:p>
    <w:p w14:paraId="6ADFD78D" w14:textId="1620156B" w:rsidR="00473F61" w:rsidRPr="00473F61" w:rsidRDefault="00473F61" w:rsidP="00473F61">
      <w:pPr>
        <w:pStyle w:val="ListParagraph"/>
        <w:numPr>
          <w:ilvl w:val="0"/>
          <w:numId w:val="22"/>
        </w:numPr>
        <w:spacing w:after="200"/>
        <w:jc w:val="both"/>
        <w:rPr>
          <w:sz w:val="22"/>
        </w:rPr>
      </w:pPr>
      <w:r w:rsidRPr="00473F61">
        <w:rPr>
          <w:sz w:val="22"/>
        </w:rPr>
        <w:t xml:space="preserve">Best value for money, weighting </w:t>
      </w:r>
      <w:r w:rsidR="004341E0">
        <w:rPr>
          <w:b/>
          <w:sz w:val="22"/>
        </w:rPr>
        <w:t>6</w:t>
      </w:r>
      <w:r w:rsidRPr="00473F61">
        <w:rPr>
          <w:b/>
          <w:sz w:val="22"/>
        </w:rPr>
        <w:t>0% technical quality</w:t>
      </w:r>
      <w:r w:rsidRPr="00473F61">
        <w:rPr>
          <w:sz w:val="22"/>
        </w:rPr>
        <w:t xml:space="preserve"> and </w:t>
      </w:r>
      <w:r w:rsidR="004341E0">
        <w:rPr>
          <w:b/>
          <w:sz w:val="22"/>
        </w:rPr>
        <w:t>4</w:t>
      </w:r>
      <w:r w:rsidRPr="00473F61">
        <w:rPr>
          <w:b/>
          <w:sz w:val="22"/>
        </w:rPr>
        <w:t>0% price</w:t>
      </w:r>
      <w:r w:rsidRPr="00473F61">
        <w:rPr>
          <w:sz w:val="22"/>
        </w:rPr>
        <w:t xml:space="preserve"> (select in case of services)</w:t>
      </w:r>
    </w:p>
    <w:p w14:paraId="285D39A8" w14:textId="77777777" w:rsidR="00473F61" w:rsidRPr="00285339" w:rsidRDefault="00473F61" w:rsidP="00473F61">
      <w:pPr>
        <w:jc w:val="both"/>
      </w:pPr>
      <w:r w:rsidRPr="00285339">
        <w:t>The successful and unsuccessful tenderers will be informed of the results of the evaluation procedure in written.</w:t>
      </w:r>
    </w:p>
    <w:p w14:paraId="5525EAD8" w14:textId="3BDD0721" w:rsidR="00193779" w:rsidRDefault="00473F61" w:rsidP="00607160">
      <w:pPr>
        <w:jc w:val="both"/>
      </w:pPr>
      <w:r w:rsidRPr="00285339">
        <w:t xml:space="preserve">The estimated time of response to the tenderers is </w:t>
      </w:r>
      <w:r w:rsidRPr="00473F61">
        <w:t>5</w:t>
      </w:r>
      <w:r w:rsidRPr="00285339">
        <w:t xml:space="preserve"> working days from the deadline for submission of the tenders.</w:t>
      </w:r>
      <w:bookmarkStart w:id="0" w:name="_GoBack"/>
      <w:bookmarkEnd w:id="0"/>
    </w:p>
    <w:p w14:paraId="22D0E93F" w14:textId="77777777" w:rsidR="00473F61" w:rsidRPr="00A82326" w:rsidRDefault="00473F61" w:rsidP="00473F61">
      <w:pPr>
        <w:pStyle w:val="ListParagraph"/>
        <w:numPr>
          <w:ilvl w:val="0"/>
          <w:numId w:val="10"/>
        </w:numPr>
        <w:rPr>
          <w:b/>
        </w:rPr>
      </w:pPr>
      <w:r w:rsidRPr="00A82326">
        <w:rPr>
          <w:b/>
        </w:rPr>
        <w:t>FORMAT OF CONTRACT</w:t>
      </w:r>
    </w:p>
    <w:p w14:paraId="7D6D0F61" w14:textId="2AAF4433" w:rsidR="00473F61" w:rsidRDefault="00473F61" w:rsidP="00473F61">
      <w:pPr>
        <w:spacing w:after="0" w:line="276" w:lineRule="auto"/>
        <w:rPr>
          <w:b/>
        </w:rPr>
      </w:pPr>
    </w:p>
    <w:p w14:paraId="20D8294D" w14:textId="77777777" w:rsidR="00193779" w:rsidRDefault="00193779" w:rsidP="00473F61">
      <w:pPr>
        <w:spacing w:after="0" w:line="276" w:lineRule="auto"/>
        <w:rPr>
          <w:b/>
        </w:rPr>
      </w:pPr>
    </w:p>
    <w:p w14:paraId="4390CE02" w14:textId="5EF25F62" w:rsidR="00473F61" w:rsidRDefault="00473F61" w:rsidP="0007791B">
      <w:pPr>
        <w:spacing w:after="0" w:line="276" w:lineRule="auto"/>
      </w:pPr>
      <w:r w:rsidRPr="0056237C">
        <w:rPr>
          <w:b/>
        </w:rPr>
        <w:t>CONTRACT TITLE</w:t>
      </w:r>
      <w:r>
        <w:t xml:space="preserve">: </w:t>
      </w:r>
      <w:r w:rsidRPr="004E7613">
        <w:rPr>
          <w:b/>
          <w:color w:val="000000" w:themeColor="text1"/>
        </w:rPr>
        <w:t>Study and analysis of adventure tourism in</w:t>
      </w:r>
      <w:r w:rsidR="004E7613" w:rsidRPr="004E7613">
        <w:rPr>
          <w:b/>
          <w:color w:val="000000" w:themeColor="text1"/>
        </w:rPr>
        <w:t xml:space="preserve"> </w:t>
      </w:r>
      <w:r w:rsidR="0007791B" w:rsidRPr="004E7613">
        <w:rPr>
          <w:b/>
          <w:color w:val="000000" w:themeColor="text1"/>
        </w:rPr>
        <w:t>Lebano</w:t>
      </w:r>
      <w:r w:rsidR="004E7613" w:rsidRPr="004E7613">
        <w:rPr>
          <w:b/>
          <w:color w:val="000000" w:themeColor="text1"/>
        </w:rPr>
        <w:t>n</w:t>
      </w:r>
    </w:p>
    <w:p w14:paraId="253BFE71" w14:textId="675FE2AB" w:rsidR="00473F61" w:rsidRDefault="00473F61" w:rsidP="0007791B">
      <w:pPr>
        <w:spacing w:line="276" w:lineRule="auto"/>
      </w:pPr>
      <w:r w:rsidRPr="0056237C">
        <w:rPr>
          <w:b/>
        </w:rPr>
        <w:t>REFERENCE</w:t>
      </w:r>
      <w:r>
        <w:t xml:space="preserve">: </w:t>
      </w:r>
      <w:r w:rsidR="0007791B" w:rsidRPr="004E7613">
        <w:t>MEDU-C-001</w:t>
      </w:r>
    </w:p>
    <w:p w14:paraId="099CF51E" w14:textId="77777777" w:rsidR="00473F61" w:rsidRPr="00285339" w:rsidRDefault="00473F61" w:rsidP="00473F61">
      <w:pPr>
        <w:spacing w:line="276" w:lineRule="auto"/>
      </w:pPr>
      <w:r w:rsidRPr="00285339">
        <w:t>Concluded between:</w:t>
      </w:r>
    </w:p>
    <w:p w14:paraId="65743EFC" w14:textId="24E0FF37" w:rsidR="00473F61" w:rsidRPr="004E7613" w:rsidRDefault="0007791B" w:rsidP="0007791B">
      <w:pPr>
        <w:spacing w:after="0" w:line="276" w:lineRule="auto"/>
        <w:rPr>
          <w:color w:val="000000" w:themeColor="text1"/>
        </w:rPr>
      </w:pPr>
      <w:r w:rsidRPr="004E7613">
        <w:rPr>
          <w:color w:val="000000" w:themeColor="text1"/>
        </w:rPr>
        <w:t>Ren</w:t>
      </w:r>
      <w:r w:rsidR="004E7613">
        <w:rPr>
          <w:color w:val="000000" w:themeColor="text1"/>
        </w:rPr>
        <w:t>é</w:t>
      </w:r>
      <w:r w:rsidRPr="004E7613">
        <w:rPr>
          <w:color w:val="000000" w:themeColor="text1"/>
        </w:rPr>
        <w:t xml:space="preserve"> Moawad Foundation</w:t>
      </w:r>
      <w:r w:rsidR="00473F61" w:rsidRPr="004E7613">
        <w:rPr>
          <w:color w:val="000000" w:themeColor="text1"/>
        </w:rPr>
        <w:t xml:space="preserve"> </w:t>
      </w:r>
    </w:p>
    <w:p w14:paraId="37A14781" w14:textId="61DDC1FB" w:rsidR="00473F61" w:rsidRPr="004E7613" w:rsidRDefault="0007791B" w:rsidP="0007791B">
      <w:pPr>
        <w:spacing w:after="0" w:line="276" w:lineRule="auto"/>
        <w:rPr>
          <w:color w:val="000000" w:themeColor="text1"/>
        </w:rPr>
      </w:pPr>
      <w:r w:rsidRPr="004E7613">
        <w:rPr>
          <w:color w:val="000000" w:themeColor="text1"/>
        </w:rPr>
        <w:t>Mejdlaya Zgharta North Lebanon</w:t>
      </w:r>
      <w:r w:rsidR="00473F61" w:rsidRPr="004E7613">
        <w:rPr>
          <w:color w:val="000000" w:themeColor="text1"/>
        </w:rPr>
        <w:t xml:space="preserve"> </w:t>
      </w:r>
    </w:p>
    <w:p w14:paraId="4140E04D" w14:textId="671C15E5" w:rsidR="00473F61" w:rsidRPr="004E7613" w:rsidRDefault="00473F61" w:rsidP="0007791B">
      <w:pPr>
        <w:spacing w:line="276" w:lineRule="auto"/>
        <w:rPr>
          <w:color w:val="000000" w:themeColor="text1"/>
        </w:rPr>
      </w:pPr>
      <w:r w:rsidRPr="004E7613">
        <w:rPr>
          <w:color w:val="000000" w:themeColor="text1"/>
        </w:rPr>
        <w:t xml:space="preserve">Represented by: </w:t>
      </w:r>
      <w:r w:rsidR="0007791B" w:rsidRPr="004E7613">
        <w:rPr>
          <w:color w:val="000000" w:themeColor="text1"/>
        </w:rPr>
        <w:t xml:space="preserve">Mr. Nabil Moawad – General Director </w:t>
      </w:r>
    </w:p>
    <w:p w14:paraId="70E9CBE7" w14:textId="77777777" w:rsidR="00473F61" w:rsidRPr="00285339" w:rsidRDefault="00473F61" w:rsidP="00473F61">
      <w:pPr>
        <w:spacing w:line="276" w:lineRule="auto"/>
      </w:pPr>
      <w:r w:rsidRPr="00285339">
        <w:t>AND</w:t>
      </w:r>
    </w:p>
    <w:p w14:paraId="54404644" w14:textId="1367A9E8" w:rsidR="00473F61" w:rsidRPr="00BE74D9" w:rsidRDefault="00473F61" w:rsidP="00473F61">
      <w:pPr>
        <w:spacing w:after="0" w:line="276" w:lineRule="auto"/>
        <w:rPr>
          <w:szCs w:val="24"/>
          <w:highlight w:val="lightGray"/>
        </w:rPr>
      </w:pPr>
      <w:r w:rsidRPr="00BE74D9">
        <w:rPr>
          <w:szCs w:val="24"/>
          <w:highlight w:val="lightGray"/>
        </w:rPr>
        <w:t>Name of the contractor&gt;</w:t>
      </w:r>
    </w:p>
    <w:p w14:paraId="40D48787" w14:textId="0AEDD618" w:rsidR="00473F61" w:rsidRPr="00BE74D9" w:rsidRDefault="00473F61" w:rsidP="00473F61">
      <w:pPr>
        <w:spacing w:after="0" w:line="276" w:lineRule="auto"/>
        <w:rPr>
          <w:szCs w:val="24"/>
          <w:highlight w:val="lightGray"/>
        </w:rPr>
      </w:pPr>
      <w:r w:rsidRPr="00BE74D9">
        <w:rPr>
          <w:szCs w:val="24"/>
          <w:highlight w:val="lightGray"/>
        </w:rPr>
        <w:t>Address of the contractor&gt;</w:t>
      </w:r>
    </w:p>
    <w:p w14:paraId="3460244E" w14:textId="4BFE89EF" w:rsidR="00473F61" w:rsidRPr="00BE74D9" w:rsidRDefault="00473F61" w:rsidP="00473F61">
      <w:pPr>
        <w:spacing w:line="276" w:lineRule="auto"/>
        <w:rPr>
          <w:szCs w:val="24"/>
          <w:highlight w:val="lightGray"/>
        </w:rPr>
      </w:pPr>
      <w:r w:rsidRPr="00BE74D9">
        <w:rPr>
          <w:szCs w:val="24"/>
          <w:highlight w:val="lightGray"/>
        </w:rPr>
        <w:t xml:space="preserve"> Represented by: name of legal representative</w:t>
      </w:r>
      <w:r w:rsidR="004E7613" w:rsidRPr="00BE74D9">
        <w:rPr>
          <w:szCs w:val="24"/>
          <w:highlight w:val="lightGray"/>
        </w:rPr>
        <w:t xml:space="preserve"> </w:t>
      </w:r>
      <w:r w:rsidRPr="00BE74D9">
        <w:rPr>
          <w:szCs w:val="24"/>
          <w:highlight w:val="lightGray"/>
        </w:rPr>
        <w:t>position</w:t>
      </w:r>
    </w:p>
    <w:p w14:paraId="675D8B24" w14:textId="77777777" w:rsidR="00473F61" w:rsidRPr="0056237C" w:rsidRDefault="00473F61" w:rsidP="00473F61">
      <w:pPr>
        <w:spacing w:line="276" w:lineRule="auto"/>
        <w:rPr>
          <w:b/>
        </w:rPr>
      </w:pPr>
      <w:r w:rsidRPr="0056237C">
        <w:rPr>
          <w:b/>
        </w:rPr>
        <w:t>Article 1: Subject of the contract</w:t>
      </w:r>
    </w:p>
    <w:p w14:paraId="0AAFD6DF" w14:textId="16235EA4" w:rsidR="00473F61" w:rsidRPr="00285339" w:rsidRDefault="00473F61" w:rsidP="00473F61">
      <w:pPr>
        <w:spacing w:line="276" w:lineRule="auto"/>
      </w:pPr>
      <w:r w:rsidRPr="00285339">
        <w:t xml:space="preserve">The subject of the contract are the </w:t>
      </w:r>
      <w:r w:rsidRPr="006B61D3">
        <w:t>services as indicated in</w:t>
      </w:r>
      <w:r w:rsidRPr="00285339">
        <w:t xml:space="preserve"> the contractor’s offer.</w:t>
      </w:r>
    </w:p>
    <w:p w14:paraId="16D2E6FB" w14:textId="77777777" w:rsidR="00473F61" w:rsidRPr="0056237C" w:rsidRDefault="00473F61" w:rsidP="00473F61">
      <w:pPr>
        <w:spacing w:line="276" w:lineRule="auto"/>
        <w:rPr>
          <w:b/>
        </w:rPr>
      </w:pPr>
      <w:r w:rsidRPr="0056237C">
        <w:rPr>
          <w:b/>
        </w:rPr>
        <w:t>Article 2: Contract value</w:t>
      </w:r>
    </w:p>
    <w:p w14:paraId="33F3E6FA" w14:textId="5B419DAE" w:rsidR="00473F61" w:rsidRPr="00285339" w:rsidRDefault="00473F61" w:rsidP="00473F61">
      <w:pPr>
        <w:spacing w:line="276" w:lineRule="auto"/>
      </w:pPr>
      <w:r w:rsidRPr="00285339">
        <w:t xml:space="preserve">The total contract value for implementation </w:t>
      </w:r>
      <w:r w:rsidRPr="00473F61">
        <w:t>of services</w:t>
      </w:r>
      <w:r w:rsidRPr="00285339">
        <w:t xml:space="preserve"> indicated in the Article 1 is: </w:t>
      </w:r>
      <w:r w:rsidRPr="00BE74D9">
        <w:rPr>
          <w:szCs w:val="24"/>
          <w:highlight w:val="lightGray"/>
        </w:rPr>
        <w:t>&lt;XXX EUR</w:t>
      </w:r>
      <w:r w:rsidR="00BE74D9" w:rsidRPr="00BE74D9">
        <w:rPr>
          <w:szCs w:val="24"/>
          <w:highlight w:val="lightGray"/>
        </w:rPr>
        <w:t xml:space="preserve"> </w:t>
      </w:r>
      <w:r w:rsidRPr="00BE74D9">
        <w:rPr>
          <w:szCs w:val="24"/>
          <w:highlight w:val="lightGray"/>
        </w:rPr>
        <w:t>&gt;</w:t>
      </w:r>
      <w:r w:rsidRPr="004E7613">
        <w:rPr>
          <w:highlight w:val="yellow"/>
        </w:rPr>
        <w:t xml:space="preserve"> </w:t>
      </w:r>
    </w:p>
    <w:p w14:paraId="2EF0DCB6" w14:textId="77777777" w:rsidR="00473F61" w:rsidRPr="0056237C" w:rsidRDefault="00473F61" w:rsidP="00473F61">
      <w:pPr>
        <w:spacing w:line="276" w:lineRule="auto"/>
        <w:rPr>
          <w:b/>
        </w:rPr>
      </w:pPr>
      <w:r w:rsidRPr="0056237C">
        <w:rPr>
          <w:b/>
        </w:rPr>
        <w:t>Article 3: Contracting documents</w:t>
      </w:r>
    </w:p>
    <w:p w14:paraId="69500E6D" w14:textId="77777777" w:rsidR="00473F61" w:rsidRPr="00285339" w:rsidRDefault="00473F61" w:rsidP="00473F61">
      <w:pPr>
        <w:spacing w:after="100" w:line="276" w:lineRule="auto"/>
      </w:pPr>
      <w:r w:rsidRPr="00285339">
        <w:t>The documents which form the part of this contract are (by the order of precedence):</w:t>
      </w:r>
    </w:p>
    <w:p w14:paraId="3F466369" w14:textId="77777777" w:rsidR="00473F61" w:rsidRPr="00285339" w:rsidRDefault="00473F61" w:rsidP="00473F61">
      <w:pPr>
        <w:pStyle w:val="ListParagraph"/>
        <w:numPr>
          <w:ilvl w:val="1"/>
          <w:numId w:val="21"/>
        </w:numPr>
        <w:spacing w:after="200" w:line="276" w:lineRule="auto"/>
        <w:ind w:left="426" w:hanging="284"/>
        <w:jc w:val="both"/>
        <w:rPr>
          <w:sz w:val="22"/>
        </w:rPr>
      </w:pPr>
      <w:r w:rsidRPr="00285339">
        <w:rPr>
          <w:sz w:val="22"/>
        </w:rPr>
        <w:t>Contract agreement</w:t>
      </w:r>
    </w:p>
    <w:p w14:paraId="0A6077A2" w14:textId="65D26021" w:rsidR="00473F61" w:rsidRPr="00285339" w:rsidRDefault="00473F61" w:rsidP="00473F61">
      <w:pPr>
        <w:pStyle w:val="ListParagraph"/>
        <w:numPr>
          <w:ilvl w:val="1"/>
          <w:numId w:val="21"/>
        </w:numPr>
        <w:spacing w:after="200" w:line="276" w:lineRule="auto"/>
        <w:ind w:left="426" w:hanging="284"/>
        <w:jc w:val="both"/>
        <w:rPr>
          <w:sz w:val="22"/>
        </w:rPr>
      </w:pPr>
      <w:r w:rsidRPr="00285339">
        <w:rPr>
          <w:sz w:val="22"/>
        </w:rPr>
        <w:t>Contractor’s offer as provided in the tendering pha</w:t>
      </w:r>
      <w:r w:rsidRPr="00473F61">
        <w:rPr>
          <w:sz w:val="22"/>
        </w:rPr>
        <w:t xml:space="preserve">se </w:t>
      </w:r>
    </w:p>
    <w:p w14:paraId="31DA3614" w14:textId="77777777" w:rsidR="00473F61" w:rsidRPr="00473F61" w:rsidRDefault="00473F61" w:rsidP="00473F61">
      <w:pPr>
        <w:pStyle w:val="ListParagraph"/>
        <w:numPr>
          <w:ilvl w:val="1"/>
          <w:numId w:val="21"/>
        </w:numPr>
        <w:spacing w:after="200" w:line="276" w:lineRule="auto"/>
        <w:ind w:left="426" w:hanging="284"/>
        <w:jc w:val="both"/>
        <w:rPr>
          <w:sz w:val="22"/>
        </w:rPr>
      </w:pPr>
      <w:r w:rsidRPr="00473F61">
        <w:rPr>
          <w:sz w:val="22"/>
        </w:rPr>
        <w:t>Any other supporting documentation if applicable (in case of request for registration of company, compliance with tax obligations or other documentation)</w:t>
      </w:r>
    </w:p>
    <w:p w14:paraId="1B5967E6" w14:textId="77777777" w:rsidR="00473F61" w:rsidRPr="00827A15" w:rsidRDefault="00473F61" w:rsidP="00473F61">
      <w:pPr>
        <w:spacing w:line="276" w:lineRule="auto"/>
        <w:rPr>
          <w:b/>
        </w:rPr>
      </w:pPr>
      <w:r w:rsidRPr="00827A15">
        <w:rPr>
          <w:b/>
        </w:rPr>
        <w:t>Article 4: Deliveries and payments</w:t>
      </w:r>
    </w:p>
    <w:p w14:paraId="4FF392BC" w14:textId="52BEAE26" w:rsidR="00473F61" w:rsidRPr="00285339" w:rsidRDefault="00473F61" w:rsidP="00473F61">
      <w:pPr>
        <w:spacing w:line="276" w:lineRule="auto"/>
      </w:pPr>
      <w:r w:rsidRPr="00285339">
        <w:t xml:space="preserve">The contractor will deliver without reservation the </w:t>
      </w:r>
      <w:r w:rsidRPr="00473F61">
        <w:t>services indicated</w:t>
      </w:r>
      <w:r w:rsidRPr="00285339">
        <w:t xml:space="preserve"> in the contractor’s offer. The deliveries will be implemented within the indicated dates.</w:t>
      </w:r>
    </w:p>
    <w:p w14:paraId="4E510845" w14:textId="782BD1AD" w:rsidR="00473F61" w:rsidRPr="00285339" w:rsidRDefault="00473F61" w:rsidP="00473F61">
      <w:pPr>
        <w:spacing w:line="276" w:lineRule="auto"/>
      </w:pPr>
      <w:r w:rsidRPr="00285339">
        <w:lastRenderedPageBreak/>
        <w:t xml:space="preserve">The contracting authority will pay to the contractor the </w:t>
      </w:r>
      <w:r w:rsidRPr="00473F61">
        <w:t>services in the amount indicated</w:t>
      </w:r>
      <w:r w:rsidRPr="00285339">
        <w:t xml:space="preserve"> in the Article 2 of this contract document. The payments will be issued by the following time schedule.</w:t>
      </w:r>
    </w:p>
    <w:tbl>
      <w:tblPr>
        <w:tblStyle w:val="TableGrid"/>
        <w:tblW w:w="0" w:type="auto"/>
        <w:tblLook w:val="04A0" w:firstRow="1" w:lastRow="0" w:firstColumn="1" w:lastColumn="0" w:noHBand="0" w:noVBand="1"/>
      </w:tblPr>
      <w:tblGrid>
        <w:gridCol w:w="1223"/>
        <w:gridCol w:w="3735"/>
        <w:gridCol w:w="3536"/>
      </w:tblGrid>
      <w:tr w:rsidR="00473F61" w:rsidRPr="00285339" w14:paraId="53E83A87" w14:textId="77777777" w:rsidTr="00C07228">
        <w:tc>
          <w:tcPr>
            <w:tcW w:w="1259" w:type="dxa"/>
            <w:vAlign w:val="center"/>
          </w:tcPr>
          <w:p w14:paraId="15B70DF8" w14:textId="77777777" w:rsidR="00473F61" w:rsidRPr="00285339" w:rsidRDefault="00473F61" w:rsidP="00C07228">
            <w:pPr>
              <w:spacing w:before="100" w:after="100" w:line="276" w:lineRule="auto"/>
              <w:jc w:val="center"/>
              <w:rPr>
                <w:sz w:val="22"/>
              </w:rPr>
            </w:pPr>
            <w:r w:rsidRPr="00285339">
              <w:rPr>
                <w:sz w:val="22"/>
              </w:rPr>
              <w:t>Month</w:t>
            </w:r>
          </w:p>
        </w:tc>
        <w:tc>
          <w:tcPr>
            <w:tcW w:w="3981" w:type="dxa"/>
            <w:vAlign w:val="center"/>
          </w:tcPr>
          <w:p w14:paraId="2A9FA0D6" w14:textId="77777777" w:rsidR="00473F61" w:rsidRPr="00285339" w:rsidRDefault="00473F61" w:rsidP="00C07228">
            <w:pPr>
              <w:spacing w:before="100" w:after="100" w:line="276" w:lineRule="auto"/>
              <w:jc w:val="center"/>
              <w:rPr>
                <w:sz w:val="22"/>
              </w:rPr>
            </w:pPr>
          </w:p>
        </w:tc>
        <w:tc>
          <w:tcPr>
            <w:tcW w:w="3770" w:type="dxa"/>
            <w:vAlign w:val="center"/>
          </w:tcPr>
          <w:p w14:paraId="48E9FEFE" w14:textId="77766A8E" w:rsidR="00473F61" w:rsidRPr="00285339" w:rsidRDefault="00193779" w:rsidP="00193779">
            <w:pPr>
              <w:spacing w:line="276" w:lineRule="auto"/>
              <w:jc w:val="center"/>
              <w:rPr>
                <w:sz w:val="22"/>
              </w:rPr>
            </w:pPr>
            <w:r w:rsidRPr="00473F61">
              <w:rPr>
                <w:sz w:val="22"/>
                <w:highlight w:val="lightGray"/>
              </w:rPr>
              <w:t>&lt; EUR</w:t>
            </w:r>
            <w:r w:rsidR="00BE74D9" w:rsidRPr="00473F61">
              <w:rPr>
                <w:sz w:val="22"/>
                <w:highlight w:val="lightGray"/>
              </w:rPr>
              <w:t xml:space="preserve"> </w:t>
            </w:r>
            <w:r w:rsidRPr="00473F61">
              <w:rPr>
                <w:sz w:val="22"/>
                <w:highlight w:val="lightGray"/>
              </w:rPr>
              <w:t>&gt;</w:t>
            </w:r>
          </w:p>
        </w:tc>
      </w:tr>
      <w:tr w:rsidR="00473F61" w:rsidRPr="00285339" w14:paraId="6FB431BD" w14:textId="77777777" w:rsidTr="00C07228">
        <w:tc>
          <w:tcPr>
            <w:tcW w:w="1259" w:type="dxa"/>
            <w:vAlign w:val="center"/>
          </w:tcPr>
          <w:p w14:paraId="0F1A283C" w14:textId="77777777" w:rsidR="00473F61" w:rsidRPr="00193779" w:rsidRDefault="00473F61" w:rsidP="00C07228">
            <w:pPr>
              <w:spacing w:before="100" w:after="100" w:line="276" w:lineRule="auto"/>
              <w:jc w:val="center"/>
              <w:rPr>
                <w:sz w:val="22"/>
              </w:rPr>
            </w:pPr>
            <w:r w:rsidRPr="00193779">
              <w:rPr>
                <w:sz w:val="22"/>
              </w:rPr>
              <w:t>1</w:t>
            </w:r>
          </w:p>
        </w:tc>
        <w:tc>
          <w:tcPr>
            <w:tcW w:w="3981" w:type="dxa"/>
            <w:vAlign w:val="center"/>
          </w:tcPr>
          <w:p w14:paraId="79863B71" w14:textId="77777777" w:rsidR="00473F61" w:rsidRPr="00193779" w:rsidRDefault="00473F61" w:rsidP="00C07228">
            <w:pPr>
              <w:spacing w:before="100" w:after="100" w:line="276" w:lineRule="auto"/>
              <w:jc w:val="center"/>
              <w:rPr>
                <w:sz w:val="22"/>
              </w:rPr>
            </w:pPr>
            <w:r w:rsidRPr="00193779">
              <w:rPr>
                <w:sz w:val="22"/>
              </w:rPr>
              <w:t>Initial pre-financing payment</w:t>
            </w:r>
          </w:p>
        </w:tc>
        <w:tc>
          <w:tcPr>
            <w:tcW w:w="3770" w:type="dxa"/>
            <w:vAlign w:val="center"/>
          </w:tcPr>
          <w:p w14:paraId="2DA3605A" w14:textId="650AFE8A" w:rsidR="00473F61" w:rsidRPr="004E7613" w:rsidRDefault="0007791B" w:rsidP="0007791B">
            <w:pPr>
              <w:spacing w:before="100" w:after="100" w:line="276" w:lineRule="auto"/>
              <w:jc w:val="center"/>
              <w:rPr>
                <w:color w:val="000000" w:themeColor="text1"/>
                <w:sz w:val="22"/>
              </w:rPr>
            </w:pPr>
            <w:r w:rsidRPr="004E7613">
              <w:rPr>
                <w:color w:val="000000" w:themeColor="text1"/>
                <w:sz w:val="22"/>
              </w:rPr>
              <w:t>30</w:t>
            </w:r>
            <w:r w:rsidR="00473F61" w:rsidRPr="004E7613">
              <w:rPr>
                <w:color w:val="000000" w:themeColor="text1"/>
                <w:sz w:val="22"/>
              </w:rPr>
              <w:t>%</w:t>
            </w:r>
            <w:r w:rsidR="00193779" w:rsidRPr="004E7613">
              <w:rPr>
                <w:color w:val="000000" w:themeColor="text1"/>
                <w:sz w:val="22"/>
              </w:rPr>
              <w:t xml:space="preserve"> </w:t>
            </w:r>
            <w:r w:rsidR="00473F61" w:rsidRPr="004E7613">
              <w:rPr>
                <w:color w:val="000000" w:themeColor="text1"/>
                <w:sz w:val="22"/>
              </w:rPr>
              <w:t>of the contract value</w:t>
            </w:r>
          </w:p>
        </w:tc>
      </w:tr>
      <w:tr w:rsidR="00473F61" w:rsidRPr="00285339" w14:paraId="765FCF94" w14:textId="77777777" w:rsidTr="00C07228">
        <w:tc>
          <w:tcPr>
            <w:tcW w:w="1259" w:type="dxa"/>
            <w:vAlign w:val="center"/>
          </w:tcPr>
          <w:p w14:paraId="6EE4FFB7" w14:textId="569828A2" w:rsidR="00473F61" w:rsidRPr="00193779" w:rsidRDefault="00193779" w:rsidP="00C07228">
            <w:pPr>
              <w:spacing w:before="100" w:after="100" w:line="276" w:lineRule="auto"/>
              <w:jc w:val="center"/>
              <w:rPr>
                <w:sz w:val="22"/>
              </w:rPr>
            </w:pPr>
            <w:r w:rsidRPr="00193779">
              <w:rPr>
                <w:sz w:val="22"/>
              </w:rPr>
              <w:t>2</w:t>
            </w:r>
          </w:p>
        </w:tc>
        <w:tc>
          <w:tcPr>
            <w:tcW w:w="3981" w:type="dxa"/>
            <w:vAlign w:val="center"/>
          </w:tcPr>
          <w:p w14:paraId="62330A96" w14:textId="77777777" w:rsidR="00473F61" w:rsidRPr="00193779" w:rsidRDefault="00473F61" w:rsidP="00C07228">
            <w:pPr>
              <w:spacing w:before="100" w:after="100" w:line="276" w:lineRule="auto"/>
              <w:jc w:val="center"/>
              <w:rPr>
                <w:sz w:val="22"/>
              </w:rPr>
            </w:pPr>
            <w:r w:rsidRPr="00193779">
              <w:rPr>
                <w:sz w:val="22"/>
              </w:rPr>
              <w:t>Interim payment</w:t>
            </w:r>
          </w:p>
        </w:tc>
        <w:tc>
          <w:tcPr>
            <w:tcW w:w="3770" w:type="dxa"/>
            <w:vAlign w:val="center"/>
          </w:tcPr>
          <w:p w14:paraId="5B2A071D" w14:textId="7B06CFD8" w:rsidR="00473F61" w:rsidRPr="004E7613" w:rsidRDefault="0007791B" w:rsidP="0007791B">
            <w:pPr>
              <w:spacing w:before="100" w:after="100" w:line="276" w:lineRule="auto"/>
              <w:jc w:val="center"/>
              <w:rPr>
                <w:color w:val="000000" w:themeColor="text1"/>
                <w:sz w:val="22"/>
              </w:rPr>
            </w:pPr>
            <w:r w:rsidRPr="004E7613">
              <w:rPr>
                <w:color w:val="000000" w:themeColor="text1"/>
                <w:sz w:val="22"/>
              </w:rPr>
              <w:t>40</w:t>
            </w:r>
            <w:r w:rsidR="00193779" w:rsidRPr="004E7613">
              <w:rPr>
                <w:color w:val="000000" w:themeColor="text1"/>
                <w:sz w:val="22"/>
              </w:rPr>
              <w:t>% of the contract value</w:t>
            </w:r>
          </w:p>
        </w:tc>
      </w:tr>
      <w:tr w:rsidR="00473F61" w:rsidRPr="00285339" w14:paraId="5EA262A1" w14:textId="77777777" w:rsidTr="00C07228">
        <w:tc>
          <w:tcPr>
            <w:tcW w:w="1259" w:type="dxa"/>
            <w:vAlign w:val="center"/>
          </w:tcPr>
          <w:p w14:paraId="54AB5E1F" w14:textId="260FD837" w:rsidR="00473F61" w:rsidRPr="00193779" w:rsidRDefault="00193779" w:rsidP="00C07228">
            <w:pPr>
              <w:spacing w:before="100" w:after="100" w:line="276" w:lineRule="auto"/>
              <w:jc w:val="center"/>
              <w:rPr>
                <w:sz w:val="22"/>
              </w:rPr>
            </w:pPr>
            <w:r w:rsidRPr="00193779">
              <w:rPr>
                <w:sz w:val="22"/>
              </w:rPr>
              <w:t>3</w:t>
            </w:r>
          </w:p>
        </w:tc>
        <w:tc>
          <w:tcPr>
            <w:tcW w:w="3981" w:type="dxa"/>
            <w:vAlign w:val="center"/>
          </w:tcPr>
          <w:p w14:paraId="4D46A0C1" w14:textId="24570078" w:rsidR="00473F61" w:rsidRPr="00193779" w:rsidRDefault="00473F61" w:rsidP="00C07228">
            <w:pPr>
              <w:spacing w:before="100" w:after="100" w:line="276" w:lineRule="auto"/>
              <w:jc w:val="center"/>
              <w:rPr>
                <w:sz w:val="22"/>
              </w:rPr>
            </w:pPr>
            <w:r w:rsidRPr="00193779">
              <w:rPr>
                <w:sz w:val="22"/>
              </w:rPr>
              <w:t>Balance payment</w:t>
            </w:r>
            <w:r w:rsidR="00193779">
              <w:rPr>
                <w:sz w:val="22"/>
              </w:rPr>
              <w:t xml:space="preserve"> subject to the approval of the Final Report</w:t>
            </w:r>
          </w:p>
        </w:tc>
        <w:tc>
          <w:tcPr>
            <w:tcW w:w="3770" w:type="dxa"/>
            <w:vAlign w:val="center"/>
          </w:tcPr>
          <w:p w14:paraId="2991EF9F" w14:textId="45E18C9D" w:rsidR="00473F61" w:rsidRPr="004E7613" w:rsidRDefault="0007791B" w:rsidP="0007791B">
            <w:pPr>
              <w:spacing w:before="100" w:after="100" w:line="276" w:lineRule="auto"/>
              <w:jc w:val="center"/>
              <w:rPr>
                <w:color w:val="000000" w:themeColor="text1"/>
                <w:sz w:val="22"/>
              </w:rPr>
            </w:pPr>
            <w:r w:rsidRPr="004E7613">
              <w:rPr>
                <w:color w:val="000000" w:themeColor="text1"/>
                <w:sz w:val="22"/>
              </w:rPr>
              <w:t>30</w:t>
            </w:r>
            <w:r w:rsidR="00193779" w:rsidRPr="004E7613">
              <w:rPr>
                <w:color w:val="000000" w:themeColor="text1"/>
                <w:sz w:val="22"/>
              </w:rPr>
              <w:t xml:space="preserve">% </w:t>
            </w:r>
            <w:r w:rsidR="00473F61" w:rsidRPr="004E7613">
              <w:rPr>
                <w:color w:val="000000" w:themeColor="text1"/>
                <w:sz w:val="22"/>
              </w:rPr>
              <w:t>of the contract value</w:t>
            </w:r>
          </w:p>
        </w:tc>
      </w:tr>
      <w:tr w:rsidR="00473F61" w:rsidRPr="00285339" w14:paraId="3382BD81" w14:textId="77777777" w:rsidTr="00C07228">
        <w:tc>
          <w:tcPr>
            <w:tcW w:w="5240" w:type="dxa"/>
            <w:gridSpan w:val="2"/>
            <w:shd w:val="clear" w:color="auto" w:fill="D9D9D9" w:themeFill="background1" w:themeFillShade="D9"/>
            <w:vAlign w:val="center"/>
          </w:tcPr>
          <w:p w14:paraId="16AE995A" w14:textId="77777777" w:rsidR="00473F61" w:rsidRPr="00285339" w:rsidRDefault="00473F61" w:rsidP="00C07228">
            <w:pPr>
              <w:spacing w:before="100" w:after="100" w:line="276" w:lineRule="auto"/>
              <w:jc w:val="right"/>
              <w:rPr>
                <w:b/>
                <w:sz w:val="22"/>
              </w:rPr>
            </w:pPr>
            <w:r w:rsidRPr="00285339">
              <w:rPr>
                <w:b/>
                <w:sz w:val="22"/>
              </w:rPr>
              <w:t>Total</w:t>
            </w:r>
          </w:p>
        </w:tc>
        <w:tc>
          <w:tcPr>
            <w:tcW w:w="3770" w:type="dxa"/>
            <w:shd w:val="clear" w:color="auto" w:fill="D9D9D9" w:themeFill="background1" w:themeFillShade="D9"/>
            <w:vAlign w:val="center"/>
          </w:tcPr>
          <w:p w14:paraId="433DC386" w14:textId="77777777" w:rsidR="00473F61" w:rsidRPr="00285339" w:rsidRDefault="00473F61" w:rsidP="00C07228">
            <w:pPr>
              <w:spacing w:before="100" w:after="100" w:line="276" w:lineRule="auto"/>
              <w:jc w:val="center"/>
              <w:rPr>
                <w:sz w:val="22"/>
              </w:rPr>
            </w:pPr>
            <w:r w:rsidRPr="00193779">
              <w:rPr>
                <w:sz w:val="22"/>
                <w:highlight w:val="lightGray"/>
              </w:rPr>
              <w:t>&lt;Total contract value&gt;</w:t>
            </w:r>
          </w:p>
        </w:tc>
      </w:tr>
    </w:tbl>
    <w:p w14:paraId="39ACBED4" w14:textId="77777777" w:rsidR="00473F61" w:rsidRPr="00285339" w:rsidRDefault="00473F61" w:rsidP="00473F61">
      <w:pPr>
        <w:spacing w:line="276" w:lineRule="auto"/>
      </w:pPr>
    </w:p>
    <w:p w14:paraId="33219100" w14:textId="2377FAEA" w:rsidR="00473F61" w:rsidRPr="00285339" w:rsidRDefault="00473F61" w:rsidP="00473F61">
      <w:pPr>
        <w:spacing w:line="276" w:lineRule="auto"/>
      </w:pPr>
      <w:r w:rsidRPr="00193779">
        <w:t>The contractor will provide contracting authority with the report</w:t>
      </w:r>
      <w:r w:rsidR="00193779" w:rsidRPr="00193779">
        <w:t>s</w:t>
      </w:r>
      <w:r w:rsidRPr="00193779">
        <w:t xml:space="preserve"> on execution of the services. </w:t>
      </w:r>
    </w:p>
    <w:p w14:paraId="29C47981" w14:textId="77777777" w:rsidR="00473F61" w:rsidRPr="00441ABC" w:rsidRDefault="00473F61" w:rsidP="00473F61">
      <w:pPr>
        <w:spacing w:line="276" w:lineRule="auto"/>
        <w:rPr>
          <w:b/>
        </w:rPr>
      </w:pPr>
      <w:r w:rsidRPr="00441ABC">
        <w:rPr>
          <w:b/>
        </w:rPr>
        <w:t>Article 5: Duration of the contract</w:t>
      </w:r>
    </w:p>
    <w:p w14:paraId="71760ECB" w14:textId="48558200" w:rsidR="00473F61" w:rsidRPr="00285339" w:rsidRDefault="00473F61" w:rsidP="00473F61">
      <w:pPr>
        <w:spacing w:line="276" w:lineRule="auto"/>
      </w:pPr>
      <w:r w:rsidRPr="00285339">
        <w:t xml:space="preserve">The duration of the contract is </w:t>
      </w:r>
      <w:r w:rsidR="00193779" w:rsidRPr="00193779">
        <w:t>3</w:t>
      </w:r>
      <w:r w:rsidRPr="00193779">
        <w:t xml:space="preserve"> months.</w:t>
      </w:r>
    </w:p>
    <w:p w14:paraId="59228625" w14:textId="77777777" w:rsidR="00473F61" w:rsidRPr="00E13A59" w:rsidRDefault="00473F61" w:rsidP="00473F61">
      <w:pPr>
        <w:spacing w:line="276" w:lineRule="auto"/>
        <w:rPr>
          <w:b/>
        </w:rPr>
      </w:pPr>
      <w:r w:rsidRPr="00E13A59">
        <w:rPr>
          <w:b/>
        </w:rPr>
        <w:t>Article 6: Cancellation of the contract</w:t>
      </w:r>
    </w:p>
    <w:p w14:paraId="1C8111C9" w14:textId="77777777" w:rsidR="00473F61" w:rsidRPr="00285339" w:rsidRDefault="00473F61" w:rsidP="00473F61">
      <w:pPr>
        <w:spacing w:line="276" w:lineRule="auto"/>
      </w:pPr>
      <w:r w:rsidRPr="00285339">
        <w:t>The contract can be suspended by the Contractor if the contracting authority does not fulfil payment and other obligations.</w:t>
      </w:r>
    </w:p>
    <w:p w14:paraId="1E94056B" w14:textId="77777777" w:rsidR="00473F61" w:rsidRPr="00285339" w:rsidRDefault="00473F61" w:rsidP="00473F61">
      <w:pPr>
        <w:spacing w:after="100" w:line="276" w:lineRule="auto"/>
      </w:pPr>
      <w:r w:rsidRPr="00285339">
        <w:t>The contract can be terminated by the contracting authority due to one of the following reasons:</w:t>
      </w:r>
    </w:p>
    <w:p w14:paraId="2FA09298" w14:textId="77777777" w:rsidR="00473F61" w:rsidRPr="00285339" w:rsidRDefault="00473F61" w:rsidP="00473F61">
      <w:pPr>
        <w:pStyle w:val="ListParagraph"/>
        <w:numPr>
          <w:ilvl w:val="1"/>
          <w:numId w:val="21"/>
        </w:numPr>
        <w:spacing w:after="200" w:line="276" w:lineRule="auto"/>
        <w:ind w:left="426" w:hanging="284"/>
        <w:jc w:val="both"/>
        <w:rPr>
          <w:sz w:val="22"/>
        </w:rPr>
      </w:pPr>
      <w:r w:rsidRPr="00285339">
        <w:rPr>
          <w:sz w:val="22"/>
        </w:rPr>
        <w:t>The Contractor is in serious breach of the contract, failing to meet contractual obligations</w:t>
      </w:r>
    </w:p>
    <w:p w14:paraId="3E2497F4" w14:textId="77777777" w:rsidR="00473F61" w:rsidRPr="00285339" w:rsidRDefault="00473F61" w:rsidP="00473F61">
      <w:pPr>
        <w:pStyle w:val="ListParagraph"/>
        <w:numPr>
          <w:ilvl w:val="1"/>
          <w:numId w:val="21"/>
        </w:numPr>
        <w:spacing w:after="200" w:line="276" w:lineRule="auto"/>
        <w:ind w:left="426" w:hanging="284"/>
        <w:jc w:val="both"/>
        <w:rPr>
          <w:sz w:val="22"/>
        </w:rPr>
      </w:pPr>
      <w:r w:rsidRPr="00285339">
        <w:rPr>
          <w:sz w:val="22"/>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 regulations.</w:t>
      </w:r>
    </w:p>
    <w:p w14:paraId="1CE6311A" w14:textId="77777777" w:rsidR="00473F61" w:rsidRPr="00E13A59" w:rsidRDefault="00473F61" w:rsidP="00473F61">
      <w:pPr>
        <w:spacing w:line="276" w:lineRule="auto"/>
        <w:rPr>
          <w:b/>
        </w:rPr>
      </w:pPr>
      <w:r w:rsidRPr="00E13A59">
        <w:rPr>
          <w:b/>
        </w:rPr>
        <w:t>Article 7: Resolving of disputes</w:t>
      </w:r>
    </w:p>
    <w:p w14:paraId="45F67488" w14:textId="38CA2B63" w:rsidR="00473F61" w:rsidRPr="00285339" w:rsidRDefault="00473F61" w:rsidP="0007791B">
      <w:pPr>
        <w:spacing w:line="276" w:lineRule="auto"/>
      </w:pPr>
      <w:r w:rsidRPr="00285339">
        <w:t xml:space="preserve">Any disputes arising out of or relating to this Contract which cannot be settled otherwise shall be referred to the exclusive jurisdiction of </w:t>
      </w:r>
      <w:r w:rsidR="0007791B" w:rsidRPr="004E7613">
        <w:t>Beirut Courts</w:t>
      </w:r>
      <w:r w:rsidRPr="004E7613">
        <w:t>.</w:t>
      </w:r>
    </w:p>
    <w:p w14:paraId="1AE16731" w14:textId="77777777" w:rsidR="00473F61" w:rsidRPr="00285339" w:rsidRDefault="00473F61" w:rsidP="00473F61">
      <w:pPr>
        <w:spacing w:line="276" w:lineRule="auto"/>
      </w:pPr>
      <w:r w:rsidRPr="00285339">
        <w:t>For the Contractor</w:t>
      </w:r>
      <w:r w:rsidRPr="00285339">
        <w:tab/>
      </w:r>
      <w:r w:rsidRPr="00285339">
        <w:tab/>
      </w:r>
      <w:r w:rsidRPr="00285339">
        <w:tab/>
      </w:r>
      <w:r w:rsidRPr="00285339">
        <w:tab/>
      </w:r>
      <w:r w:rsidRPr="00285339">
        <w:tab/>
        <w:t>For the contracting authority</w:t>
      </w:r>
    </w:p>
    <w:p w14:paraId="544077D9" w14:textId="399567CA" w:rsidR="00473F61" w:rsidRPr="00285339" w:rsidRDefault="00473F61" w:rsidP="00473F61">
      <w:pPr>
        <w:spacing w:after="0" w:line="276" w:lineRule="auto"/>
      </w:pPr>
      <w:r w:rsidRPr="00285339">
        <w:t>Name:</w:t>
      </w:r>
      <w:r w:rsidRPr="00285339">
        <w:tab/>
      </w:r>
      <w:r w:rsidRPr="00285339">
        <w:tab/>
      </w:r>
      <w:r w:rsidRPr="00285339">
        <w:tab/>
      </w:r>
      <w:r w:rsidRPr="00285339">
        <w:tab/>
      </w:r>
      <w:r w:rsidRPr="00285339">
        <w:tab/>
      </w:r>
      <w:r w:rsidRPr="00285339">
        <w:tab/>
      </w:r>
      <w:r w:rsidR="00BE74D9">
        <w:tab/>
      </w:r>
      <w:r w:rsidRPr="00285339">
        <w:t>Name:</w:t>
      </w:r>
    </w:p>
    <w:p w14:paraId="4842B0C0" w14:textId="77777777" w:rsidR="00473F61" w:rsidRPr="00285339" w:rsidRDefault="00473F61" w:rsidP="00473F61">
      <w:pPr>
        <w:spacing w:after="0" w:line="276" w:lineRule="auto"/>
        <w:rPr>
          <w:lang w:val="fr-FR"/>
        </w:rPr>
      </w:pPr>
      <w:r w:rsidRPr="00285339">
        <w:t>Position:</w:t>
      </w:r>
      <w:r w:rsidRPr="00285339">
        <w:tab/>
      </w:r>
      <w:r w:rsidRPr="00285339">
        <w:tab/>
      </w:r>
      <w:r w:rsidRPr="00285339">
        <w:tab/>
      </w:r>
      <w:r w:rsidRPr="00285339">
        <w:tab/>
      </w:r>
      <w:r w:rsidRPr="00285339">
        <w:tab/>
      </w:r>
      <w:r w:rsidRPr="00285339">
        <w:tab/>
      </w:r>
      <w:r w:rsidRPr="00285339">
        <w:rPr>
          <w:lang w:val="fr-FR"/>
        </w:rPr>
        <w:t>Position:</w:t>
      </w:r>
    </w:p>
    <w:p w14:paraId="41838553" w14:textId="77777777" w:rsidR="00473F61" w:rsidRPr="00285339" w:rsidRDefault="00473F61" w:rsidP="00473F61">
      <w:pPr>
        <w:spacing w:after="0" w:line="276" w:lineRule="auto"/>
        <w:rPr>
          <w:lang w:val="fr-FR"/>
        </w:rPr>
      </w:pPr>
      <w:r w:rsidRPr="00285339">
        <w:rPr>
          <w:lang w:val="fr-FR"/>
        </w:rPr>
        <w:t>Signature:</w:t>
      </w:r>
      <w:r w:rsidRPr="00285339">
        <w:rPr>
          <w:lang w:val="fr-FR"/>
        </w:rPr>
        <w:tab/>
      </w:r>
      <w:r w:rsidRPr="00285339">
        <w:rPr>
          <w:lang w:val="fr-FR"/>
        </w:rPr>
        <w:tab/>
      </w:r>
      <w:r w:rsidRPr="00285339">
        <w:rPr>
          <w:lang w:val="fr-FR"/>
        </w:rPr>
        <w:tab/>
      </w:r>
      <w:r w:rsidRPr="00285339">
        <w:rPr>
          <w:lang w:val="fr-FR"/>
        </w:rPr>
        <w:tab/>
      </w:r>
      <w:r w:rsidRPr="00285339">
        <w:rPr>
          <w:lang w:val="fr-FR"/>
        </w:rPr>
        <w:tab/>
      </w:r>
      <w:r w:rsidRPr="00285339">
        <w:rPr>
          <w:lang w:val="fr-FR"/>
        </w:rPr>
        <w:tab/>
        <w:t>Signature:</w:t>
      </w:r>
    </w:p>
    <w:p w14:paraId="16DB7985" w14:textId="67C64FE3" w:rsidR="00CD25C6" w:rsidRPr="004F583A" w:rsidRDefault="00473F61" w:rsidP="004F583A">
      <w:pPr>
        <w:spacing w:line="276" w:lineRule="auto"/>
        <w:rPr>
          <w:lang w:val="fr-FR"/>
        </w:rPr>
      </w:pPr>
      <w:r w:rsidRPr="00285339">
        <w:rPr>
          <w:lang w:val="fr-FR"/>
        </w:rPr>
        <w:t>Date:</w:t>
      </w:r>
      <w:r w:rsidRPr="00285339">
        <w:rPr>
          <w:lang w:val="fr-FR"/>
        </w:rPr>
        <w:tab/>
      </w:r>
      <w:r w:rsidRPr="00285339">
        <w:rPr>
          <w:lang w:val="fr-FR"/>
        </w:rPr>
        <w:tab/>
      </w:r>
      <w:r w:rsidRPr="00285339">
        <w:rPr>
          <w:lang w:val="fr-FR"/>
        </w:rPr>
        <w:tab/>
      </w:r>
      <w:r w:rsidRPr="00285339">
        <w:rPr>
          <w:lang w:val="fr-FR"/>
        </w:rPr>
        <w:tab/>
      </w:r>
      <w:r w:rsidRPr="00285339">
        <w:rPr>
          <w:lang w:val="fr-FR"/>
        </w:rPr>
        <w:tab/>
      </w:r>
      <w:r w:rsidRPr="00285339">
        <w:rPr>
          <w:lang w:val="fr-FR"/>
        </w:rPr>
        <w:tab/>
      </w:r>
      <w:r w:rsidRPr="00285339">
        <w:rPr>
          <w:lang w:val="fr-FR"/>
        </w:rPr>
        <w:tab/>
        <w:t>Date :</w:t>
      </w:r>
    </w:p>
    <w:sectPr w:rsidR="00CD25C6" w:rsidRPr="004F583A">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C6388" w14:textId="77777777" w:rsidR="00B72426" w:rsidRDefault="00B72426" w:rsidP="00CC5D6E">
      <w:pPr>
        <w:spacing w:after="0" w:line="240" w:lineRule="auto"/>
      </w:pPr>
      <w:r>
        <w:separator/>
      </w:r>
    </w:p>
  </w:endnote>
  <w:endnote w:type="continuationSeparator" w:id="0">
    <w:p w14:paraId="41CCABC8" w14:textId="77777777" w:rsidR="00B72426" w:rsidRDefault="00B72426" w:rsidP="00CC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189F" w14:textId="77777777" w:rsidR="00B11BE6" w:rsidRDefault="00B11BE6">
    <w:pPr>
      <w:pStyle w:val="Footer"/>
      <w:rPr>
        <w:noProof/>
        <w:lang w:val="ca-ES" w:eastAsia="ca-ES"/>
      </w:rPr>
    </w:pPr>
    <w:r>
      <w:rPr>
        <w:noProof/>
        <w:lang w:val="en-US"/>
      </w:rPr>
      <w:drawing>
        <wp:anchor distT="0" distB="0" distL="114300" distR="114300" simplePos="0" relativeHeight="251659264" behindDoc="0" locked="0" layoutInCell="1" allowOverlap="1" wp14:anchorId="41C97FF4" wp14:editId="6A3E8370">
          <wp:simplePos x="0" y="0"/>
          <wp:positionH relativeFrom="column">
            <wp:posOffset>-1029335</wp:posOffset>
          </wp:positionH>
          <wp:positionV relativeFrom="paragraph">
            <wp:posOffset>158560</wp:posOffset>
          </wp:positionV>
          <wp:extent cx="7456170"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6170" cy="1116965"/>
                  </a:xfrm>
                  <a:prstGeom prst="rect">
                    <a:avLst/>
                  </a:prstGeom>
                </pic:spPr>
              </pic:pic>
            </a:graphicData>
          </a:graphic>
          <wp14:sizeRelH relativeFrom="margin">
            <wp14:pctWidth>0</wp14:pctWidth>
          </wp14:sizeRelH>
          <wp14:sizeRelV relativeFrom="margin">
            <wp14:pctHeight>0</wp14:pctHeight>
          </wp14:sizeRelV>
        </wp:anchor>
      </w:drawing>
    </w:r>
  </w:p>
  <w:p w14:paraId="6E2F8658" w14:textId="77777777" w:rsidR="00CC5D6E" w:rsidRDefault="00CC5D6E">
    <w:pPr>
      <w:pStyle w:val="Footer"/>
      <w:rPr>
        <w:noProof/>
        <w:lang w:val="ca-ES" w:eastAsia="ca-ES"/>
      </w:rPr>
    </w:pPr>
  </w:p>
  <w:p w14:paraId="3041BE1A" w14:textId="77777777" w:rsidR="00CC5D6E" w:rsidRDefault="00CC5D6E">
    <w:pPr>
      <w:pStyle w:val="Footer"/>
      <w:rPr>
        <w:noProof/>
        <w:lang w:val="ca-ES" w:eastAsia="ca-ES"/>
      </w:rPr>
    </w:pPr>
  </w:p>
  <w:p w14:paraId="6526C715" w14:textId="77777777" w:rsidR="00CC5D6E" w:rsidRDefault="00CC5D6E">
    <w:pPr>
      <w:pStyle w:val="Footer"/>
      <w:rPr>
        <w:noProof/>
        <w:lang w:val="ca-ES" w:eastAsia="ca-ES"/>
      </w:rPr>
    </w:pPr>
  </w:p>
  <w:p w14:paraId="1BB05017" w14:textId="77777777" w:rsidR="00CC5D6E" w:rsidRDefault="00CC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31E8F" w14:textId="77777777" w:rsidR="00B72426" w:rsidRDefault="00B72426" w:rsidP="00CC5D6E">
      <w:pPr>
        <w:spacing w:after="0" w:line="240" w:lineRule="auto"/>
      </w:pPr>
      <w:r>
        <w:separator/>
      </w:r>
    </w:p>
  </w:footnote>
  <w:footnote w:type="continuationSeparator" w:id="0">
    <w:p w14:paraId="2AF34CC4" w14:textId="77777777" w:rsidR="00B72426" w:rsidRDefault="00B72426" w:rsidP="00CC5D6E">
      <w:pPr>
        <w:spacing w:after="0" w:line="240" w:lineRule="auto"/>
      </w:pPr>
      <w:r>
        <w:continuationSeparator/>
      </w:r>
    </w:p>
  </w:footnote>
  <w:footnote w:id="1">
    <w:p w14:paraId="3FDC1C1D" w14:textId="7CD93E90" w:rsidR="00BE74D9" w:rsidRPr="00BE74D9" w:rsidRDefault="00BE74D9" w:rsidP="00BE74D9">
      <w:pPr>
        <w:pStyle w:val="FootnoteText"/>
        <w:spacing w:after="0"/>
      </w:pPr>
      <w:r w:rsidRPr="00BE74D9">
        <w:rPr>
          <w:rFonts w:asciiTheme="minorHAnsi" w:hAnsiTheme="minorHAnsi" w:cstheme="minorHAnsi"/>
          <w:color w:val="808080"/>
          <w:sz w:val="18"/>
          <w:vertAlign w:val="superscript"/>
        </w:rPr>
        <w:footnoteRef/>
      </w:r>
      <w:r>
        <w:t xml:space="preserve"> </w:t>
      </w:r>
      <w:r w:rsidRPr="00BE74D9">
        <w:rPr>
          <w:rFonts w:asciiTheme="minorHAnsi" w:hAnsiTheme="minorHAnsi" w:cstheme="minorHAnsi"/>
          <w:b/>
          <w:color w:val="808080"/>
          <w:sz w:val="18"/>
        </w:rPr>
        <w:t>Definition of Adventure tourism</w:t>
      </w:r>
      <w:r w:rsidRPr="00BE74D9">
        <w:rPr>
          <w:rFonts w:asciiTheme="minorHAnsi" w:hAnsiTheme="minorHAnsi" w:cstheme="minorHAnsi"/>
          <w:color w:val="808080"/>
          <w:sz w:val="18"/>
        </w:rPr>
        <w:t xml:space="preserve"> shall follow the definition by the </w:t>
      </w:r>
      <w:r w:rsidRPr="00BE74D9">
        <w:rPr>
          <w:rFonts w:asciiTheme="minorHAnsi" w:hAnsiTheme="minorHAnsi" w:cstheme="minorHAnsi"/>
          <w:b/>
          <w:color w:val="808080"/>
          <w:sz w:val="18"/>
        </w:rPr>
        <w:t>Adventure Travel Trade Association (ATTA)</w:t>
      </w:r>
      <w:r>
        <w:rPr>
          <w:rFonts w:asciiTheme="minorHAnsi" w:hAnsiTheme="minorHAnsi" w:cstheme="minorHAnsi"/>
          <w:color w:val="808080"/>
          <w:sz w:val="18"/>
        </w:rPr>
        <w:t>.</w:t>
      </w:r>
    </w:p>
  </w:footnote>
  <w:footnote w:id="2">
    <w:p w14:paraId="57131A80" w14:textId="77777777" w:rsidR="00CD25C6" w:rsidRPr="00473F61" w:rsidRDefault="00CD25C6" w:rsidP="00CD25C6">
      <w:pPr>
        <w:pStyle w:val="FootnoteText"/>
        <w:spacing w:after="0"/>
        <w:rPr>
          <w:rFonts w:asciiTheme="minorHAnsi" w:hAnsiTheme="minorHAnsi" w:cstheme="minorHAnsi"/>
          <w:color w:val="808080"/>
          <w:sz w:val="18"/>
        </w:rPr>
      </w:pPr>
      <w:r w:rsidRPr="00473F61">
        <w:rPr>
          <w:rFonts w:asciiTheme="minorHAnsi" w:hAnsiTheme="minorHAnsi" w:cstheme="minorHAnsi"/>
          <w:color w:val="808080"/>
          <w:sz w:val="18"/>
          <w:vertAlign w:val="superscript"/>
        </w:rPr>
        <w:footnoteRef/>
      </w:r>
      <w:r w:rsidRPr="00473F61">
        <w:rPr>
          <w:rFonts w:asciiTheme="minorHAnsi" w:hAnsiTheme="minorHAnsi" w:cstheme="minorHAnsi"/>
          <w:color w:val="808080"/>
          <w:sz w:val="18"/>
          <w:vertAlign w:val="superscript"/>
        </w:rPr>
        <w:t xml:space="preserve"> </w:t>
      </w:r>
      <w:r w:rsidRPr="00473F61">
        <w:rPr>
          <w:rFonts w:asciiTheme="minorHAnsi" w:hAnsiTheme="minorHAnsi" w:cstheme="minorHAnsi"/>
          <w:color w:val="808080"/>
          <w:sz w:val="18"/>
        </w:rPr>
        <w:t xml:space="preserve">The accommodation must be a legal accommodation according to tourism regulations in the territory. </w:t>
      </w:r>
    </w:p>
  </w:footnote>
  <w:footnote w:id="3">
    <w:p w14:paraId="12EC97A4" w14:textId="77777777" w:rsidR="00CD25C6" w:rsidRPr="00E21359" w:rsidRDefault="00CD25C6" w:rsidP="00CD25C6">
      <w:pPr>
        <w:pStyle w:val="FootnoteText"/>
        <w:ind w:left="0" w:firstLine="0"/>
        <w:rPr>
          <w:lang w:val="en-US"/>
        </w:rPr>
      </w:pPr>
      <w:r w:rsidRPr="00473F61">
        <w:rPr>
          <w:rFonts w:asciiTheme="minorHAnsi" w:hAnsiTheme="minorHAnsi" w:cstheme="minorHAnsi"/>
          <w:color w:val="808080"/>
          <w:sz w:val="18"/>
          <w:vertAlign w:val="superscript"/>
        </w:rPr>
        <w:footnoteRef/>
      </w:r>
      <w:r w:rsidRPr="00473F61">
        <w:rPr>
          <w:rFonts w:asciiTheme="minorHAnsi" w:hAnsiTheme="minorHAnsi" w:cstheme="minorHAnsi"/>
          <w:color w:val="808080"/>
          <w:sz w:val="18"/>
          <w:vertAlign w:val="superscript"/>
        </w:rPr>
        <w:t xml:space="preserve"> </w:t>
      </w:r>
      <w:r w:rsidRPr="00473F61">
        <w:rPr>
          <w:rFonts w:asciiTheme="minorHAnsi" w:hAnsiTheme="minorHAnsi" w:cstheme="minorHAnsi"/>
          <w:color w:val="808080"/>
          <w:sz w:val="18"/>
        </w:rPr>
        <w:t>The slow food trend and the traditional recipes will be a differentiating factor, so agriculture of local agricultural cooperatives that work on the sustainability concept (products of proximity, season and zero kilometre) are essential values to be taken into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E271" w14:textId="77777777" w:rsidR="00CC5D6E" w:rsidRDefault="00CC5D6E">
    <w:pPr>
      <w:pStyle w:val="Header"/>
    </w:pPr>
    <w:r>
      <w:rPr>
        <w:noProof/>
        <w:lang w:val="en-US"/>
      </w:rPr>
      <w:drawing>
        <wp:anchor distT="0" distB="0" distL="114300" distR="114300" simplePos="0" relativeHeight="251658240" behindDoc="0" locked="0" layoutInCell="1" allowOverlap="1" wp14:anchorId="130FEF28" wp14:editId="65567B6A">
          <wp:simplePos x="0" y="0"/>
          <wp:positionH relativeFrom="column">
            <wp:posOffset>-1070610</wp:posOffset>
          </wp:positionH>
          <wp:positionV relativeFrom="paragraph">
            <wp:posOffset>-443230</wp:posOffset>
          </wp:positionV>
          <wp:extent cx="7534275" cy="11137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113790"/>
                  </a:xfrm>
                  <a:prstGeom prst="rect">
                    <a:avLst/>
                  </a:prstGeom>
                </pic:spPr>
              </pic:pic>
            </a:graphicData>
          </a:graphic>
          <wp14:sizeRelH relativeFrom="page">
            <wp14:pctWidth>0</wp14:pctWidth>
          </wp14:sizeRelH>
          <wp14:sizeRelV relativeFrom="page">
            <wp14:pctHeight>0</wp14:pctHeight>
          </wp14:sizeRelV>
        </wp:anchor>
      </w:drawing>
    </w:r>
  </w:p>
  <w:p w14:paraId="1AAACE70" w14:textId="77777777" w:rsidR="00CC5D6E" w:rsidRDefault="00CC5D6E">
    <w:pPr>
      <w:pStyle w:val="Header"/>
    </w:pPr>
  </w:p>
  <w:p w14:paraId="25BE59CF" w14:textId="77777777" w:rsidR="00CC5D6E" w:rsidRDefault="00CC5D6E">
    <w:pPr>
      <w:pStyle w:val="Header"/>
    </w:pPr>
  </w:p>
  <w:p w14:paraId="128819BE" w14:textId="77777777" w:rsidR="00CC5D6E" w:rsidRDefault="00CC5D6E">
    <w:pPr>
      <w:pStyle w:val="Header"/>
    </w:pPr>
  </w:p>
  <w:p w14:paraId="0A5042B4" w14:textId="77777777" w:rsidR="00CC5D6E" w:rsidRDefault="00CC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1" w15:restartNumberingAfterBreak="0">
    <w:nsid w:val="14930D55"/>
    <w:multiLevelType w:val="hybridMultilevel"/>
    <w:tmpl w:val="7220B90C"/>
    <w:lvl w:ilvl="0" w:tplc="088411A6">
      <w:start w:val="3"/>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61D1B69"/>
    <w:multiLevelType w:val="hybridMultilevel"/>
    <w:tmpl w:val="6172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E0AFD"/>
    <w:multiLevelType w:val="hybridMultilevel"/>
    <w:tmpl w:val="5CF6D8F0"/>
    <w:lvl w:ilvl="0" w:tplc="A9FA4F08">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28156DF"/>
    <w:multiLevelType w:val="hybridMultilevel"/>
    <w:tmpl w:val="73922D66"/>
    <w:lvl w:ilvl="0" w:tplc="F22C4C26">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AF8068D"/>
    <w:multiLevelType w:val="hybridMultilevel"/>
    <w:tmpl w:val="E856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F9C769B"/>
    <w:multiLevelType w:val="hybridMultilevel"/>
    <w:tmpl w:val="C5DC3A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4FE4C82"/>
    <w:multiLevelType w:val="multilevel"/>
    <w:tmpl w:val="93106EB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9D0573D"/>
    <w:multiLevelType w:val="hybridMultilevel"/>
    <w:tmpl w:val="216C9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DFE11EA"/>
    <w:multiLevelType w:val="multilevel"/>
    <w:tmpl w:val="AB02D8A6"/>
    <w:lvl w:ilvl="0">
      <w:start w:val="1"/>
      <w:numFmt w:val="decimal"/>
      <w:lvlText w:val="%1."/>
      <w:lvlJc w:val="left"/>
      <w:pPr>
        <w:ind w:left="720" w:hanging="360"/>
      </w:pPr>
      <w:rPr>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8157AA"/>
    <w:multiLevelType w:val="hybridMultilevel"/>
    <w:tmpl w:val="4CD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C00D1"/>
    <w:multiLevelType w:val="hybridMultilevel"/>
    <w:tmpl w:val="F4D07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15:restartNumberingAfterBreak="0">
    <w:nsid w:val="6DDF6025"/>
    <w:multiLevelType w:val="multilevel"/>
    <w:tmpl w:val="76947604"/>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71EDD"/>
    <w:multiLevelType w:val="hybridMultilevel"/>
    <w:tmpl w:val="342E2D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6"/>
  </w:num>
  <w:num w:numId="5">
    <w:abstractNumId w:val="12"/>
  </w:num>
  <w:num w:numId="6">
    <w:abstractNumId w:val="10"/>
  </w:num>
  <w:num w:numId="7">
    <w:abstractNumId w:val="18"/>
  </w:num>
  <w:num w:numId="8">
    <w:abstractNumId w:val="3"/>
  </w:num>
  <w:num w:numId="9">
    <w:abstractNumId w:val="1"/>
  </w:num>
  <w:num w:numId="10">
    <w:abstractNumId w:val="17"/>
  </w:num>
  <w:num w:numId="11">
    <w:abstractNumId w:val="19"/>
  </w:num>
  <w:num w:numId="12">
    <w:abstractNumId w:val="20"/>
  </w:num>
  <w:num w:numId="13">
    <w:abstractNumId w:val="7"/>
  </w:num>
  <w:num w:numId="14">
    <w:abstractNumId w:val="14"/>
  </w:num>
  <w:num w:numId="15">
    <w:abstractNumId w:val="9"/>
    <w:lvlOverride w:ilvl="0">
      <w:startOverride w:val="1"/>
    </w:lvlOverride>
  </w:num>
  <w:num w:numId="16">
    <w:abstractNumId w:val="9"/>
  </w:num>
  <w:num w:numId="17">
    <w:abstractNumId w:val="5"/>
  </w:num>
  <w:num w:numId="18">
    <w:abstractNumId w:val="8"/>
  </w:num>
  <w:num w:numId="19">
    <w:abstractNumId w:val="4"/>
  </w:num>
  <w:num w:numId="20">
    <w:abstractNumId w:val="2"/>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9C"/>
    <w:rsid w:val="00012E3E"/>
    <w:rsid w:val="00025256"/>
    <w:rsid w:val="00040634"/>
    <w:rsid w:val="0007791B"/>
    <w:rsid w:val="00081295"/>
    <w:rsid w:val="00134858"/>
    <w:rsid w:val="00193779"/>
    <w:rsid w:val="00201ADA"/>
    <w:rsid w:val="00204F9C"/>
    <w:rsid w:val="002B3EBC"/>
    <w:rsid w:val="00337E5C"/>
    <w:rsid w:val="003A5AFB"/>
    <w:rsid w:val="003C5C76"/>
    <w:rsid w:val="004341E0"/>
    <w:rsid w:val="00473F61"/>
    <w:rsid w:val="004E7613"/>
    <w:rsid w:val="004F583A"/>
    <w:rsid w:val="00525BFD"/>
    <w:rsid w:val="005C54C0"/>
    <w:rsid w:val="00607160"/>
    <w:rsid w:val="00674C10"/>
    <w:rsid w:val="00683FBE"/>
    <w:rsid w:val="006B61D3"/>
    <w:rsid w:val="006D3D8D"/>
    <w:rsid w:val="00707D66"/>
    <w:rsid w:val="007C2D08"/>
    <w:rsid w:val="007E2292"/>
    <w:rsid w:val="0083346C"/>
    <w:rsid w:val="008D6150"/>
    <w:rsid w:val="008E28C9"/>
    <w:rsid w:val="00900360"/>
    <w:rsid w:val="00930DFC"/>
    <w:rsid w:val="00A72DE6"/>
    <w:rsid w:val="00A76380"/>
    <w:rsid w:val="00B11BE6"/>
    <w:rsid w:val="00B72426"/>
    <w:rsid w:val="00BA12D4"/>
    <w:rsid w:val="00BB6437"/>
    <w:rsid w:val="00BD3D39"/>
    <w:rsid w:val="00BE74D9"/>
    <w:rsid w:val="00CC5D6E"/>
    <w:rsid w:val="00CD25C6"/>
    <w:rsid w:val="00D563B2"/>
    <w:rsid w:val="00DC1A71"/>
    <w:rsid w:val="00EA2287"/>
    <w:rsid w:val="00EB4C91"/>
    <w:rsid w:val="00F7425B"/>
    <w:rsid w:val="00FA52B3"/>
    <w:rsid w:val="00FB56A5"/>
    <w:rsid w:val="00FF78D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1168A"/>
  <w15:chartTrackingRefBased/>
  <w15:docId w15:val="{E024C0BA-38EF-46B9-AE6B-06AAA7E7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4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6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C5D6E"/>
    <w:rPr>
      <w:lang w:val="en-GB"/>
    </w:rPr>
  </w:style>
  <w:style w:type="paragraph" w:styleId="Footer">
    <w:name w:val="footer"/>
    <w:basedOn w:val="Normal"/>
    <w:link w:val="FooterChar"/>
    <w:uiPriority w:val="99"/>
    <w:unhideWhenUsed/>
    <w:rsid w:val="00CC5D6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C5D6E"/>
    <w:rPr>
      <w:lang w:val="en-GB"/>
    </w:rPr>
  </w:style>
  <w:style w:type="character" w:customStyle="1" w:styleId="Heading1Char">
    <w:name w:val="Heading 1 Char"/>
    <w:basedOn w:val="DefaultParagraphFont"/>
    <w:link w:val="Heading1"/>
    <w:uiPriority w:val="9"/>
    <w:rsid w:val="00040634"/>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4063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EA2287"/>
    <w:pPr>
      <w:autoSpaceDE w:val="0"/>
      <w:autoSpaceDN w:val="0"/>
      <w:adjustRightInd w:val="0"/>
      <w:spacing w:after="80" w:line="240" w:lineRule="auto"/>
      <w:jc w:val="both"/>
    </w:pPr>
    <w:rPr>
      <w:rFonts w:ascii="Calibri" w:eastAsiaTheme="minorEastAsia" w:hAnsi="Calibri" w:cs="Calibri"/>
      <w:color w:val="000000"/>
      <w:sz w:val="20"/>
      <w:szCs w:val="20"/>
      <w:lang w:val="en-US"/>
    </w:rPr>
  </w:style>
  <w:style w:type="paragraph" w:styleId="ListParagraph">
    <w:name w:val="List Paragraph"/>
    <w:basedOn w:val="Normal"/>
    <w:uiPriority w:val="34"/>
    <w:qFormat/>
    <w:rsid w:val="00EA2287"/>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D56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B2"/>
    <w:rPr>
      <w:rFonts w:ascii="Segoe UI" w:hAnsi="Segoe UI" w:cs="Segoe UI"/>
      <w:sz w:val="18"/>
      <w:szCs w:val="18"/>
      <w:lang w:val="en-GB"/>
    </w:rPr>
  </w:style>
  <w:style w:type="character" w:styleId="CommentReference">
    <w:name w:val="annotation reference"/>
    <w:basedOn w:val="DefaultParagraphFont"/>
    <w:uiPriority w:val="99"/>
    <w:semiHidden/>
    <w:unhideWhenUsed/>
    <w:rsid w:val="00201ADA"/>
    <w:rPr>
      <w:sz w:val="16"/>
      <w:szCs w:val="16"/>
    </w:rPr>
  </w:style>
  <w:style w:type="paragraph" w:styleId="CommentText">
    <w:name w:val="annotation text"/>
    <w:basedOn w:val="Normal"/>
    <w:link w:val="CommentTextChar"/>
    <w:uiPriority w:val="99"/>
    <w:semiHidden/>
    <w:unhideWhenUsed/>
    <w:rsid w:val="00201ADA"/>
    <w:pPr>
      <w:spacing w:line="240" w:lineRule="auto"/>
    </w:pPr>
    <w:rPr>
      <w:sz w:val="20"/>
      <w:szCs w:val="20"/>
    </w:rPr>
  </w:style>
  <w:style w:type="character" w:customStyle="1" w:styleId="CommentTextChar">
    <w:name w:val="Comment Text Char"/>
    <w:basedOn w:val="DefaultParagraphFont"/>
    <w:link w:val="CommentText"/>
    <w:uiPriority w:val="99"/>
    <w:semiHidden/>
    <w:rsid w:val="00201ADA"/>
    <w:rPr>
      <w:sz w:val="20"/>
      <w:szCs w:val="20"/>
      <w:lang w:val="en-GB"/>
    </w:rPr>
  </w:style>
  <w:style w:type="paragraph" w:styleId="CommentSubject">
    <w:name w:val="annotation subject"/>
    <w:basedOn w:val="CommentText"/>
    <w:next w:val="CommentText"/>
    <w:link w:val="CommentSubjectChar"/>
    <w:uiPriority w:val="99"/>
    <w:semiHidden/>
    <w:unhideWhenUsed/>
    <w:rsid w:val="00201ADA"/>
    <w:rPr>
      <w:b/>
      <w:bCs/>
    </w:rPr>
  </w:style>
  <w:style w:type="character" w:customStyle="1" w:styleId="CommentSubjectChar">
    <w:name w:val="Comment Subject Char"/>
    <w:basedOn w:val="CommentTextChar"/>
    <w:link w:val="CommentSubject"/>
    <w:uiPriority w:val="99"/>
    <w:semiHidden/>
    <w:rsid w:val="00201ADA"/>
    <w:rPr>
      <w:b/>
      <w:bCs/>
      <w:sz w:val="20"/>
      <w:szCs w:val="20"/>
      <w:lang w:val="en-GB"/>
    </w:rPr>
  </w:style>
  <w:style w:type="paragraph" w:styleId="Revision">
    <w:name w:val="Revision"/>
    <w:hidden/>
    <w:uiPriority w:val="99"/>
    <w:semiHidden/>
    <w:rsid w:val="0083346C"/>
    <w:pPr>
      <w:spacing w:after="0" w:line="240" w:lineRule="auto"/>
    </w:pPr>
    <w:rPr>
      <w:lang w:val="en-GB"/>
    </w:rPr>
  </w:style>
  <w:style w:type="table" w:styleId="TableGrid">
    <w:name w:val="Table Grid"/>
    <w:basedOn w:val="TableNormal"/>
    <w:uiPriority w:val="39"/>
    <w:rsid w:val="00833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F78D9"/>
    <w:pPr>
      <w:numPr>
        <w:numId w:val="15"/>
      </w:numPr>
      <w:spacing w:after="24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F78D9"/>
    <w:rPr>
      <w:color w:val="0000FF"/>
      <w:u w:val="single"/>
    </w:rPr>
  </w:style>
  <w:style w:type="paragraph" w:styleId="FootnoteText">
    <w:name w:val="footnote text"/>
    <w:basedOn w:val="Normal"/>
    <w:link w:val="FootnoteTextChar"/>
    <w:semiHidden/>
    <w:rsid w:val="00CD25C6"/>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CD25C6"/>
    <w:rPr>
      <w:rFonts w:ascii="Arial" w:eastAsia="Times New Roman" w:hAnsi="Arial" w:cs="Times New Roman"/>
      <w:sz w:val="20"/>
      <w:szCs w:val="20"/>
      <w:lang w:val="en-GB" w:eastAsia="en-GB"/>
    </w:rPr>
  </w:style>
  <w:style w:type="character" w:styleId="FootnoteReference">
    <w:name w:val="footnote reference"/>
    <w:semiHidden/>
    <w:rsid w:val="00CD25C6"/>
    <w:rPr>
      <w:rFonts w:ascii="TimesNewRomanPS" w:hAnsi="TimesNewRomanPS"/>
      <w:position w:val="6"/>
      <w:sz w:val="16"/>
    </w:rPr>
  </w:style>
  <w:style w:type="paragraph" w:customStyle="1" w:styleId="Text2">
    <w:name w:val="Text 2"/>
    <w:basedOn w:val="Normal"/>
    <w:rsid w:val="00473F61"/>
    <w:pPr>
      <w:tabs>
        <w:tab w:val="left" w:pos="2161"/>
      </w:tabs>
      <w:spacing w:after="240" w:line="240" w:lineRule="auto"/>
      <w:ind w:left="1202"/>
      <w:jc w:val="both"/>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8953">
      <w:bodyDiv w:val="1"/>
      <w:marLeft w:val="0"/>
      <w:marRight w:val="0"/>
      <w:marTop w:val="0"/>
      <w:marBottom w:val="0"/>
      <w:divBdr>
        <w:top w:val="none" w:sz="0" w:space="0" w:color="auto"/>
        <w:left w:val="none" w:sz="0" w:space="0" w:color="auto"/>
        <w:bottom w:val="none" w:sz="0" w:space="0" w:color="auto"/>
        <w:right w:val="none" w:sz="0" w:space="0" w:color="auto"/>
      </w:divBdr>
    </w:div>
    <w:div w:id="412705884">
      <w:bodyDiv w:val="1"/>
      <w:marLeft w:val="0"/>
      <w:marRight w:val="0"/>
      <w:marTop w:val="0"/>
      <w:marBottom w:val="0"/>
      <w:divBdr>
        <w:top w:val="none" w:sz="0" w:space="0" w:color="auto"/>
        <w:left w:val="none" w:sz="0" w:space="0" w:color="auto"/>
        <w:bottom w:val="none" w:sz="0" w:space="0" w:color="auto"/>
        <w:right w:val="none" w:sz="0" w:space="0" w:color="auto"/>
      </w:divBdr>
    </w:div>
    <w:div w:id="1489128518">
      <w:bodyDiv w:val="1"/>
      <w:marLeft w:val="0"/>
      <w:marRight w:val="0"/>
      <w:marTop w:val="0"/>
      <w:marBottom w:val="0"/>
      <w:divBdr>
        <w:top w:val="none" w:sz="0" w:space="0" w:color="auto"/>
        <w:left w:val="none" w:sz="0" w:space="0" w:color="auto"/>
        <w:bottom w:val="none" w:sz="0" w:space="0" w:color="auto"/>
        <w:right w:val="none" w:sz="0" w:space="0" w:color="auto"/>
      </w:divBdr>
    </w:div>
    <w:div w:id="18213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cbcmed.eu/projects/medu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mmoud@rmf.org.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uropeaid/communication-and-visibility-manual-eu-external-actions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2744</Words>
  <Characters>15642</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SCCM01WPV</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Hehn</dc:creator>
  <cp:keywords/>
  <dc:description/>
  <cp:lastModifiedBy>Carla Hammoud</cp:lastModifiedBy>
  <cp:revision>3</cp:revision>
  <dcterms:created xsi:type="dcterms:W3CDTF">2019-11-21T13:03:00Z</dcterms:created>
  <dcterms:modified xsi:type="dcterms:W3CDTF">2019-12-03T13:48:00Z</dcterms:modified>
</cp:coreProperties>
</file>