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SCOPE OF WORK</w:t>
      </w:r>
    </w:p>
    <w:tbl>
      <w:tblPr>
        <w:tblStyle w:val="Table1"/>
        <w:tblW w:w="9895.0" w:type="dxa"/>
        <w:jc w:val="left"/>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75"/>
        <w:gridCol w:w="5220"/>
        <w:tblGridChange w:id="0">
          <w:tblGrid>
            <w:gridCol w:w="4675"/>
            <w:gridCol w:w="5220"/>
          </w:tblGrid>
        </w:tblGridChange>
      </w:tblGrid>
      <w:tr>
        <w:trPr>
          <w:cantSplit w:val="0"/>
          <w:trHeight w:val="473.98437499999994" w:hRule="atLeast"/>
          <w:tblHeader w:val="0"/>
        </w:trPr>
        <w:tc>
          <w:tcPr/>
          <w:p w:rsidR="00000000" w:rsidDel="00000000" w:rsidP="00000000" w:rsidRDefault="00000000" w:rsidRPr="00000000" w14:paraId="00000002">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Project Title</w:t>
            </w:r>
          </w:p>
          <w:p w:rsidR="00000000" w:rsidDel="00000000" w:rsidP="00000000" w:rsidRDefault="00000000" w:rsidRPr="00000000" w14:paraId="00000003">
            <w:pPr>
              <w:spacing w:line="240"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04">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LINKED </w:t>
            </w:r>
          </w:p>
        </w:tc>
      </w:tr>
      <w:tr>
        <w:trPr>
          <w:cantSplit w:val="0"/>
          <w:trHeight w:val="414.9801243358052" w:hRule="atLeast"/>
          <w:tblHeader w:val="0"/>
        </w:trPr>
        <w:tc>
          <w:tcPr/>
          <w:p w:rsidR="00000000" w:rsidDel="00000000" w:rsidP="00000000" w:rsidRDefault="00000000" w:rsidRPr="00000000" w14:paraId="00000005">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Activity Title</w:t>
            </w:r>
          </w:p>
        </w:tc>
        <w:tc>
          <w:tcPr/>
          <w:p w:rsidR="00000000" w:rsidDel="00000000" w:rsidP="00000000" w:rsidRDefault="00000000" w:rsidRPr="00000000" w14:paraId="00000006">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Call for Consultants Specialized in (1) developing a governance structure of new cluster/organization and (2) building capacity of board members to discover fundraising opportunities</w:t>
            </w:r>
          </w:p>
          <w:p w:rsidR="00000000" w:rsidDel="00000000" w:rsidP="00000000" w:rsidRDefault="00000000" w:rsidRPr="00000000" w14:paraId="00000007">
            <w:pPr>
              <w:spacing w:line="240" w:lineRule="auto"/>
              <w:rPr>
                <w:rFonts w:ascii="Arial Narrow" w:cs="Arial Narrow" w:eastAsia="Arial Narrow" w:hAnsi="Arial Narrow"/>
                <w:sz w:val="20"/>
                <w:szCs w:val="20"/>
              </w:rPr>
            </w:pPr>
            <w:r w:rsidDel="00000000" w:rsidR="00000000" w:rsidRPr="00000000">
              <w:rPr>
                <w:rtl w:val="0"/>
              </w:rPr>
            </w:r>
          </w:p>
        </w:tc>
      </w:tr>
      <w:tr>
        <w:trPr>
          <w:cantSplit w:val="0"/>
          <w:trHeight w:val="202.98862566419476" w:hRule="atLeast"/>
          <w:tblHeader w:val="0"/>
        </w:trPr>
        <w:tc>
          <w:tcPr/>
          <w:p w:rsidR="00000000" w:rsidDel="00000000" w:rsidP="00000000" w:rsidRDefault="00000000" w:rsidRPr="00000000" w14:paraId="00000008">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Project Location</w:t>
            </w:r>
          </w:p>
        </w:tc>
        <w:tc>
          <w:tcPr/>
          <w:p w:rsidR="00000000" w:rsidDel="00000000" w:rsidP="00000000" w:rsidRDefault="00000000" w:rsidRPr="00000000" w14:paraId="00000009">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Mount Lebanon and Bekaa</w:t>
            </w:r>
          </w:p>
        </w:tc>
      </w:tr>
    </w:tbl>
    <w:p w:rsidR="00000000" w:rsidDel="00000000" w:rsidP="00000000" w:rsidRDefault="00000000" w:rsidRPr="00000000" w14:paraId="0000000A">
      <w:pPr>
        <w:spacing w:after="0"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B">
      <w:pPr>
        <w:numPr>
          <w:ilvl w:val="0"/>
          <w:numId w:val="4"/>
        </w:numPr>
        <w:spacing w:line="240" w:lineRule="auto"/>
        <w:ind w:left="720" w:hanging="36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About Mercy Corps</w:t>
      </w:r>
      <w:r w:rsidDel="00000000" w:rsidR="00000000" w:rsidRPr="00000000">
        <w:rPr>
          <w:rtl w:val="0"/>
        </w:rPr>
      </w:r>
    </w:p>
    <w:p w:rsidR="00000000" w:rsidDel="00000000" w:rsidP="00000000" w:rsidRDefault="00000000" w:rsidRPr="00000000" w14:paraId="0000000C">
      <w:pPr>
        <w:spacing w:after="24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Mercy Corps exists to alleviate suffering, poverty, and oppression by helping people build secure, productive, and just communities. The agency pursues its mission through emergency relief services, sustainable community development, civil society and economic development initiatives. Mercy Corps has been present in the Middle East since the 1980s and currently has offices in Yemen, Lebanon, Palestine, Jordan, Syria, Iraq, Egypt and Libya. Working in Lebanon since 1993, Mercy Corps has implemented community development programs focused on promoting economic development and increased opportunity for disadvantaged communities, while responding to emergencies as they emerged in the country.  In 2012, the program portfolio shifted in response to the massive refugee influx from Syria and Mercy Corps in Lebanon has solidified its emergency response programming while integrating longer-term development programming by focusing on key sectors: Protection, Water Sanitation and Hygiene (WASH), Governance and Conflict, and Livelihoods.</w:t>
      </w:r>
    </w:p>
    <w:p w:rsidR="00000000" w:rsidDel="00000000" w:rsidP="00000000" w:rsidRDefault="00000000" w:rsidRPr="00000000" w14:paraId="0000000D">
      <w:pPr>
        <w:numPr>
          <w:ilvl w:val="0"/>
          <w:numId w:val="4"/>
        </w:numPr>
        <w:spacing w:after="0" w:line="240" w:lineRule="auto"/>
        <w:ind w:left="72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About the Program</w:t>
      </w:r>
      <w:r w:rsidDel="00000000" w:rsidR="00000000" w:rsidRPr="00000000">
        <w:rPr>
          <w:rtl w:val="0"/>
        </w:rPr>
      </w:r>
    </w:p>
    <w:p w:rsidR="00000000" w:rsidDel="00000000" w:rsidP="00000000" w:rsidRDefault="00000000" w:rsidRPr="00000000" w14:paraId="0000000E">
      <w:pPr>
        <w:spacing w:after="0" w:line="240" w:lineRule="auto"/>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2019, Mercy Corps, the Danish Refugee Council (DRC), Oxfam in Lebanon and Al Majmoua established the Consortium “Linking Vulnerable Populations and Inclusive Market Networks to Advance Sustainable Economic Development in Lebanon” - or “LINKED” - to contribute to sustained, inclusive and sustainable economic development in Lebanon.</w:t>
      </w:r>
    </w:p>
    <w:p w:rsidR="00000000" w:rsidDel="00000000" w:rsidP="00000000" w:rsidRDefault="00000000" w:rsidRPr="00000000" w14:paraId="00000010">
      <w:pPr>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With support from the European Union’s Madad Trust Fund (MADAD), LINKED intends to deliver an integrated livelihoods package comprising a series of mutually reinforcing and sequenced activities. On the one hand, it will aim to ensure vulnerable households have enhanced capacities to identify and pursue decent livelihood pathways and improve access to employment opportunities for vulnerable job seekers through enhanced marketable skills and linkages with employers. In parallel, it will seek to strengthen capacities of selected local businesses to provide decent, inclusive, and sustainable income generation opportunities.</w:t>
      </w:r>
    </w:p>
    <w:p w:rsidR="00000000" w:rsidDel="00000000" w:rsidP="00000000" w:rsidRDefault="00000000" w:rsidRPr="00000000" w14:paraId="00000011">
      <w:pPr>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72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Description of the Required Services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Mercy Corps is seeking a consultant, or a consultancy firm to assist two business clusters in the following: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Designing the cluster governance structure by defining the roles and responsibilities of the board and cluster members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Assist the cluster board on how to identify fundraising opportunities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Connect the clusters to active donors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Draft 2 proposals for </w:t>
      </w:r>
      <w:r w:rsidDel="00000000" w:rsidR="00000000" w:rsidRPr="00000000">
        <w:rPr>
          <w:rFonts w:ascii="Arial Narrow" w:cs="Arial Narrow" w:eastAsia="Arial Narrow" w:hAnsi="Arial Narrow"/>
          <w:sz w:val="20"/>
          <w:szCs w:val="20"/>
          <w:rtl w:val="0"/>
        </w:rPr>
        <w:t xml:space="preserve">fundraising</w:t>
      </w:r>
      <w:r w:rsidDel="00000000" w:rsidR="00000000" w:rsidRPr="00000000">
        <w:rPr>
          <w:rFonts w:ascii="Arial Narrow" w:cs="Arial Narrow" w:eastAsia="Arial Narrow" w:hAnsi="Arial Narrow"/>
          <w:sz w:val="20"/>
          <w:szCs w:val="20"/>
          <w:rtl w:val="0"/>
        </w:rPr>
        <w:t xml:space="preserve"> (per cluster)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Noting that both clusters will be launched in parallel. </w:t>
      </w:r>
    </w:p>
    <w:p w:rsidR="00000000" w:rsidDel="00000000" w:rsidP="00000000" w:rsidRDefault="00000000" w:rsidRPr="00000000" w14:paraId="00000019">
      <w:pPr>
        <w:numPr>
          <w:ilvl w:val="0"/>
          <w:numId w:val="4"/>
        </w:numPr>
        <w:shd w:fill="ffffff" w:val="clear"/>
        <w:spacing w:after="0" w:line="240" w:lineRule="auto"/>
        <w:ind w:left="45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Number and Location of Clusters</w:t>
      </w:r>
      <w:r w:rsidDel="00000000" w:rsidR="00000000" w:rsidRPr="00000000">
        <w:rPr>
          <w:rtl w:val="0"/>
        </w:rPr>
      </w:r>
    </w:p>
    <w:p w:rsidR="00000000" w:rsidDel="00000000" w:rsidP="00000000" w:rsidRDefault="00000000" w:rsidRPr="00000000" w14:paraId="0000001A">
      <w:pPr>
        <w:shd w:fill="ffffff" w:val="clear"/>
        <w:spacing w:after="0" w:line="240" w:lineRule="auto"/>
        <w:ind w:left="45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cluster is a group of businesses that work together.</w:t>
      </w:r>
    </w:p>
    <w:p w:rsidR="00000000" w:rsidDel="00000000" w:rsidP="00000000" w:rsidRDefault="00000000" w:rsidRPr="00000000" w14:paraId="0000001B">
      <w:pPr>
        <w:shd w:fill="ffffff" w:val="clear"/>
        <w:spacing w:after="0" w:line="240" w:lineRule="auto"/>
        <w:ind w:left="45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Cluster 1: Cosmetics Cluster in Mount Lebanon area</w:t>
      </w:r>
    </w:p>
    <w:p w:rsidR="00000000" w:rsidDel="00000000" w:rsidP="00000000" w:rsidRDefault="00000000" w:rsidRPr="00000000" w14:paraId="0000001C">
      <w:pPr>
        <w:shd w:fill="ffffff" w:val="clear"/>
        <w:spacing w:after="0" w:line="240" w:lineRule="auto"/>
        <w:ind w:left="450" w:firstLine="0"/>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sz w:val="20"/>
          <w:szCs w:val="20"/>
          <w:rtl w:val="0"/>
        </w:rPr>
        <w:t xml:space="preserve">Cluster 2: Dairy Cluster in Bekaa area</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0" w:firstLine="0"/>
        <w:rPr>
          <w:rFonts w:ascii="Arial Narrow" w:cs="Arial Narrow" w:eastAsia="Arial Narrow" w:hAnsi="Arial Narrow"/>
          <w:sz w:val="20"/>
          <w:szCs w:val="20"/>
          <w:u w:val="none"/>
        </w:rPr>
      </w:pP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before="240" w:line="240" w:lineRule="auto"/>
        <w:ind w:left="45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Required Tasks from the Service Provider (per cluster)</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Conduct a kick-off meeting with both clusters for general introductions, and to agree on an action plan with agreed timeline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Submit a detailed report to Mercy Corps with the an action plan based on the kick-off meeting</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Develop a governance structure for the cluster while defining roles and </w:t>
      </w:r>
      <w:r w:rsidDel="00000000" w:rsidR="00000000" w:rsidRPr="00000000">
        <w:rPr>
          <w:rFonts w:ascii="Arial Narrow" w:cs="Arial Narrow" w:eastAsia="Arial Narrow" w:hAnsi="Arial Narrow"/>
          <w:sz w:val="20"/>
          <w:szCs w:val="20"/>
          <w:rtl w:val="0"/>
        </w:rPr>
        <w:t xml:space="preserve">responsibilities</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Deliver rapid 1 day fundraising training to the board members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Connect or introduce board members to potential donors</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develop 2 funding proposals </w:t>
      </w:r>
      <w:r w:rsidDel="00000000" w:rsidR="00000000" w:rsidRPr="00000000">
        <w:rPr>
          <w:rtl w:val="0"/>
        </w:rPr>
      </w:r>
    </w:p>
    <w:p w:rsidR="00000000" w:rsidDel="00000000" w:rsidP="00000000" w:rsidRDefault="00000000" w:rsidRPr="00000000" w14:paraId="00000025">
      <w:pPr>
        <w:spacing w:after="0" w:before="240" w:line="240" w:lineRule="auto"/>
        <w:ind w:left="0" w:firstLine="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6. Deliverables (per cluster)</w:t>
      </w:r>
    </w:p>
    <w:p w:rsidR="00000000" w:rsidDel="00000000" w:rsidP="00000000" w:rsidRDefault="00000000" w:rsidRPr="00000000" w14:paraId="00000026">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Workplan </w:t>
      </w:r>
    </w:p>
    <w:p w:rsidR="00000000" w:rsidDel="00000000" w:rsidP="00000000" w:rsidRDefault="00000000" w:rsidRPr="00000000" w14:paraId="00000027">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Report 1: Governance structure </w:t>
      </w:r>
    </w:p>
    <w:p w:rsidR="00000000" w:rsidDel="00000000" w:rsidP="00000000" w:rsidRDefault="00000000" w:rsidRPr="00000000" w14:paraId="00000028">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 Report 2: 2 Proposals </w:t>
      </w:r>
    </w:p>
    <w:p w:rsidR="00000000" w:rsidDel="00000000" w:rsidP="00000000" w:rsidRDefault="00000000" w:rsidRPr="00000000" w14:paraId="00000029">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 Final completion report for Mercy Corps including a summary of all activities done</w:t>
      </w:r>
    </w:p>
    <w:p w:rsidR="00000000" w:rsidDel="00000000" w:rsidP="00000000" w:rsidRDefault="00000000" w:rsidRPr="00000000" w14:paraId="0000002A">
      <w:pPr>
        <w:spacing w:after="0" w:before="0" w:line="240" w:lineRule="auto"/>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B">
      <w:pPr>
        <w:spacing w:after="0" w:before="0" w:line="240" w:lineRule="auto"/>
        <w:ind w:left="0" w:firstLine="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7. Timeline</w:t>
      </w:r>
    </w:p>
    <w:p w:rsidR="00000000" w:rsidDel="00000000" w:rsidP="00000000" w:rsidRDefault="00000000" w:rsidRPr="00000000" w14:paraId="0000002C">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activity should be completed by June 15, 2023 the latest, where it is expected to be launched by mid/end-March 2023</w:t>
      </w:r>
    </w:p>
    <w:p w:rsidR="00000000" w:rsidDel="00000000" w:rsidP="00000000" w:rsidRDefault="00000000" w:rsidRPr="00000000" w14:paraId="0000002D">
      <w:pPr>
        <w:spacing w:after="0" w:before="0" w:line="240" w:lineRule="auto"/>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E">
      <w:pPr>
        <w:spacing w:after="0" w:before="0" w:line="240" w:lineRule="auto"/>
        <w:ind w:left="0" w:firstLine="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8. Budget</w:t>
      </w:r>
    </w:p>
    <w:p w:rsidR="00000000" w:rsidDel="00000000" w:rsidP="00000000" w:rsidRDefault="00000000" w:rsidRPr="00000000" w14:paraId="0000002F">
      <w:pPr>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Applicants should submit their budget as PER WORKING DAY fees and up to 30 working days for both clusters.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9. Submittals</w:t>
      </w:r>
    </w:p>
    <w:p w:rsidR="00000000" w:rsidDel="00000000" w:rsidP="00000000" w:rsidRDefault="00000000" w:rsidRPr="00000000" w14:paraId="0000003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w:t>
      </w:r>
      <w:r w:rsidDel="00000000" w:rsidR="00000000" w:rsidRPr="00000000">
        <w:rPr>
          <w:rFonts w:ascii="Arial Narrow" w:cs="Arial Narrow" w:eastAsia="Arial Narrow" w:hAnsi="Arial Narrow"/>
          <w:b w:val="1"/>
          <w:sz w:val="20"/>
          <w:szCs w:val="20"/>
          <w:rtl w:val="0"/>
        </w:rPr>
        <w:t xml:space="preserve"> Company Profile </w:t>
      </w:r>
      <w:r w:rsidDel="00000000" w:rsidR="00000000" w:rsidRPr="00000000">
        <w:rPr>
          <w:rFonts w:ascii="Arial Narrow" w:cs="Arial Narrow" w:eastAsia="Arial Narrow" w:hAnsi="Arial Narrow"/>
          <w:sz w:val="20"/>
          <w:szCs w:val="20"/>
          <w:rtl w:val="0"/>
        </w:rPr>
        <w:t xml:space="preserve">(detailing profile of the applicant and </w:t>
      </w:r>
      <w:r w:rsidDel="00000000" w:rsidR="00000000" w:rsidRPr="00000000">
        <w:rPr>
          <w:rFonts w:ascii="Arial Narrow" w:cs="Arial Narrow" w:eastAsia="Arial Narrow" w:hAnsi="Arial Narrow"/>
          <w:b w:val="1"/>
          <w:sz w:val="20"/>
          <w:szCs w:val="20"/>
          <w:u w:val="single"/>
          <w:rtl w:val="0"/>
        </w:rPr>
        <w:t xml:space="preserve">highlighting specific experience in the topics mentioned above</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3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w:t>
      </w:r>
      <w:r w:rsidDel="00000000" w:rsidR="00000000" w:rsidRPr="00000000">
        <w:rPr>
          <w:rFonts w:ascii="Arial Narrow" w:cs="Arial Narrow" w:eastAsia="Arial Narrow" w:hAnsi="Arial Narrow"/>
          <w:b w:val="1"/>
          <w:sz w:val="20"/>
          <w:szCs w:val="20"/>
          <w:rtl w:val="0"/>
        </w:rPr>
        <w:t xml:space="preserve">Consultant CVs</w:t>
      </w:r>
      <w:r w:rsidDel="00000000" w:rsidR="00000000" w:rsidRPr="00000000">
        <w:rPr>
          <w:rFonts w:ascii="Arial Narrow" w:cs="Arial Narrow" w:eastAsia="Arial Narrow" w:hAnsi="Arial Narrow"/>
          <w:sz w:val="20"/>
          <w:szCs w:val="20"/>
          <w:rtl w:val="0"/>
        </w:rPr>
        <w:t xml:space="preserve"> (CVs of consultants to be </w:t>
      </w:r>
      <w:r w:rsidDel="00000000" w:rsidR="00000000" w:rsidRPr="00000000">
        <w:rPr>
          <w:rFonts w:ascii="Arial Narrow" w:cs="Arial Narrow" w:eastAsia="Arial Narrow" w:hAnsi="Arial Narrow"/>
          <w:sz w:val="20"/>
          <w:szCs w:val="20"/>
          <w:u w:val="single"/>
          <w:rtl w:val="0"/>
        </w:rPr>
        <w:t xml:space="preserve">assigned to the project - do not send profiles of all firm consultants</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w:t>
      </w:r>
      <w:r w:rsidDel="00000000" w:rsidR="00000000" w:rsidRPr="00000000">
        <w:rPr>
          <w:rFonts w:ascii="Arial Narrow" w:cs="Arial Narrow" w:eastAsia="Arial Narrow" w:hAnsi="Arial Narrow"/>
          <w:b w:val="1"/>
          <w:sz w:val="20"/>
          <w:szCs w:val="20"/>
          <w:rtl w:val="0"/>
        </w:rPr>
        <w:t xml:space="preserve"> List of similar projects conducted</w:t>
      </w:r>
      <w:r w:rsidDel="00000000" w:rsidR="00000000" w:rsidRPr="00000000">
        <w:rPr>
          <w:rFonts w:ascii="Arial Narrow" w:cs="Arial Narrow" w:eastAsia="Arial Narrow" w:hAnsi="Arial Narrow"/>
          <w:sz w:val="20"/>
          <w:szCs w:val="20"/>
          <w:rtl w:val="0"/>
        </w:rPr>
        <w:t xml:space="preserve"> (share only projects </w:t>
      </w:r>
      <w:r w:rsidDel="00000000" w:rsidR="00000000" w:rsidRPr="00000000">
        <w:rPr>
          <w:rFonts w:ascii="Arial Narrow" w:cs="Arial Narrow" w:eastAsia="Arial Narrow" w:hAnsi="Arial Narrow"/>
          <w:sz w:val="20"/>
          <w:szCs w:val="20"/>
          <w:u w:val="single"/>
          <w:rtl w:val="0"/>
        </w:rPr>
        <w:t xml:space="preserve">relevant</w:t>
      </w:r>
      <w:r w:rsidDel="00000000" w:rsidR="00000000" w:rsidRPr="00000000">
        <w:rPr>
          <w:rFonts w:ascii="Arial Narrow" w:cs="Arial Narrow" w:eastAsia="Arial Narrow" w:hAnsi="Arial Narrow"/>
          <w:sz w:val="20"/>
          <w:szCs w:val="20"/>
          <w:rtl w:val="0"/>
        </w:rPr>
        <w:t xml:space="preserve"> to the topics to be addressed) - the list will include a briefing on the type of support given to the enterprises highlighting relevance to the tender) plus </w:t>
      </w:r>
      <w:r w:rsidDel="00000000" w:rsidR="00000000" w:rsidRPr="00000000">
        <w:rPr>
          <w:rFonts w:ascii="Arial Narrow" w:cs="Arial Narrow" w:eastAsia="Arial Narrow" w:hAnsi="Arial Narrow"/>
          <w:b w:val="1"/>
          <w:sz w:val="20"/>
          <w:szCs w:val="20"/>
          <w:rtl w:val="0"/>
        </w:rPr>
        <w:t xml:space="preserve">List of references for similar projects conducted</w:t>
      </w:r>
      <w:r w:rsidDel="00000000" w:rsidR="00000000" w:rsidRPr="00000000">
        <w:rPr>
          <w:rFonts w:ascii="Arial Narrow" w:cs="Arial Narrow" w:eastAsia="Arial Narrow" w:hAnsi="Arial Narrow"/>
          <w:sz w:val="20"/>
          <w:szCs w:val="20"/>
          <w:rtl w:val="0"/>
        </w:rPr>
        <w:t xml:space="preserve"> (at least 3 references with names, phone numbers)</w:t>
      </w:r>
    </w:p>
    <w:p w:rsidR="00000000" w:rsidDel="00000000" w:rsidP="00000000" w:rsidRDefault="00000000" w:rsidRPr="00000000" w14:paraId="0000003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 </w:t>
      </w:r>
      <w:r w:rsidDel="00000000" w:rsidR="00000000" w:rsidRPr="00000000">
        <w:rPr>
          <w:rFonts w:ascii="Arial Narrow" w:cs="Arial Narrow" w:eastAsia="Arial Narrow" w:hAnsi="Arial Narrow"/>
          <w:b w:val="1"/>
          <w:sz w:val="20"/>
          <w:szCs w:val="20"/>
          <w:rtl w:val="0"/>
        </w:rPr>
        <w:t xml:space="preserve">Detailed budget: </w:t>
      </w:r>
      <w:r w:rsidDel="00000000" w:rsidR="00000000" w:rsidRPr="00000000">
        <w:rPr>
          <w:rFonts w:ascii="Arial Narrow" w:cs="Arial Narrow" w:eastAsia="Arial Narrow" w:hAnsi="Arial Narrow"/>
          <w:sz w:val="20"/>
          <w:szCs w:val="20"/>
          <w:rtl w:val="0"/>
        </w:rPr>
        <w:t xml:space="preserve">Budget to be separate for each cluster</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p w:rsidR="00000000" w:rsidDel="00000000" w:rsidP="00000000" w:rsidRDefault="00000000" w:rsidRPr="00000000" w14:paraId="00000036">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w:t>
      </w:r>
      <w:r w:rsidDel="00000000" w:rsidR="00000000" w:rsidRPr="00000000">
        <w:rPr>
          <w:rFonts w:ascii="Arial Narrow" w:cs="Arial Narrow" w:eastAsia="Arial Narrow" w:hAnsi="Arial Narrow"/>
          <w:b w:val="1"/>
          <w:sz w:val="20"/>
          <w:szCs w:val="20"/>
          <w:rtl w:val="0"/>
        </w:rPr>
        <w:t xml:space="preserve">Time Frame </w:t>
      </w:r>
      <w:r w:rsidDel="00000000" w:rsidR="00000000" w:rsidRPr="00000000">
        <w:rPr>
          <w:rFonts w:ascii="Arial Narrow" w:cs="Arial Narrow" w:eastAsia="Arial Narrow" w:hAnsi="Arial Narrow"/>
          <w:sz w:val="20"/>
          <w:szCs w:val="20"/>
          <w:rtl w:val="0"/>
        </w:rPr>
        <w:t xml:space="preserve">(should confirm that the consultant would not exceed June 15, 2023)</w:t>
      </w:r>
    </w:p>
    <w:p w:rsidR="00000000" w:rsidDel="00000000" w:rsidP="00000000" w:rsidRDefault="00000000" w:rsidRPr="00000000" w14:paraId="00000037">
      <w:pPr>
        <w:spacing w:after="0" w:line="240" w:lineRule="auto"/>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11. Evaluation Criteria</w:t>
      </w:r>
    </w:p>
    <w:p w:rsidR="00000000" w:rsidDel="00000000" w:rsidP="00000000" w:rsidRDefault="00000000" w:rsidRPr="00000000" w14:paraId="00000039">
      <w:pPr>
        <w:spacing w:after="0" w:line="240" w:lineRule="auto"/>
        <w:jc w:val="both"/>
        <w:rPr>
          <w:rFonts w:ascii="Arial Narrow" w:cs="Arial Narrow" w:eastAsia="Arial Narrow" w:hAnsi="Arial Narrow"/>
          <w:b w:val="1"/>
          <w:sz w:val="20"/>
          <w:szCs w:val="20"/>
          <w:u w:val="singl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Criteria</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Score</w:t>
            </w:r>
          </w:p>
        </w:tc>
      </w:tr>
      <w:tr>
        <w:trPr>
          <w:cantSplit w:val="0"/>
          <w:trHeight w:val="2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Company Profile and Consultant CVs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r>
      <w:tr>
        <w:trPr>
          <w:cantSplit w:val="0"/>
          <w:trHeight w:val="2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 of similar projects conducted and references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Detailed Budget</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Time frame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100</w:t>
            </w:r>
          </w:p>
        </w:tc>
      </w:tr>
    </w:tbl>
    <w:p w:rsidR="00000000" w:rsidDel="00000000" w:rsidP="00000000" w:rsidRDefault="00000000" w:rsidRPr="00000000" w14:paraId="00000046">
      <w:pPr>
        <w:spacing w:after="0" w:line="240" w:lineRule="auto"/>
        <w:jc w:val="both"/>
        <w:rPr>
          <w:rFonts w:ascii="Arial Narrow" w:cs="Arial Narrow" w:eastAsia="Arial Narrow" w:hAnsi="Arial Narrow"/>
          <w:sz w:val="20"/>
          <w:szCs w:val="2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12700</wp:posOffset>
          </wp:positionV>
          <wp:extent cx="5943600" cy="767715"/>
          <wp:effectExtent b="0" l="0" r="0" t="0"/>
          <wp:wrapSquare wrapText="bothSides" distB="0" distT="0" distL="114300" distR="114300"/>
          <wp:docPr descr="Logo&#10;&#10;Description automatically generated" id="48" name="image1.png"/>
          <a:graphic>
            <a:graphicData uri="http://schemas.openxmlformats.org/drawingml/2006/picture">
              <pic:pic>
                <pic:nvPicPr>
                  <pic:cNvPr descr="Logo&#10;&#10;Description automatically generated" id="0" name="image1.png"/>
                  <pic:cNvPicPr preferRelativeResize="0"/>
                </pic:nvPicPr>
                <pic:blipFill>
                  <a:blip r:embed="rId1"/>
                  <a:srcRect b="4328" l="295" r="0" t="0"/>
                  <a:stretch>
                    <a:fillRect/>
                  </a:stretch>
                </pic:blipFill>
                <pic:spPr>
                  <a:xfrm>
                    <a:off x="0" y="0"/>
                    <a:ext cx="5943600" cy="767715"/>
                  </a:xfrm>
                  <a:prstGeom prst="rect"/>
                  <a:ln/>
                </pic:spPr>
              </pic:pic>
            </a:graphicData>
          </a:graphic>
        </wp:anchor>
      </w:drawing>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057ED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57ED6"/>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057E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ED6"/>
  </w:style>
  <w:style w:type="paragraph" w:styleId="Footer">
    <w:name w:val="footer"/>
    <w:basedOn w:val="Normal"/>
    <w:link w:val="FooterChar"/>
    <w:uiPriority w:val="99"/>
    <w:unhideWhenUsed w:val="1"/>
    <w:rsid w:val="00057E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ED6"/>
  </w:style>
  <w:style w:type="paragraph" w:styleId="ListParagraph">
    <w:name w:val="List Paragraph"/>
    <w:basedOn w:val="Normal"/>
    <w:uiPriority w:val="34"/>
    <w:qFormat w:val="1"/>
    <w:rsid w:val="003700CF"/>
    <w:pPr>
      <w:ind w:left="720"/>
      <w:contextualSpacing w:val="1"/>
    </w:pPr>
  </w:style>
  <w:style w:type="character" w:styleId="Hyperlink">
    <w:name w:val="Hyperlink"/>
    <w:basedOn w:val="DefaultParagraphFont"/>
    <w:uiPriority w:val="99"/>
    <w:unhideWhenUsed w:val="1"/>
    <w:rsid w:val="00A83C80"/>
    <w:rPr>
      <w:color w:val="0563c1" w:themeColor="hyperlink"/>
      <w:u w:val="single"/>
    </w:rPr>
  </w:style>
  <w:style w:type="character" w:styleId="UnresolvedMention">
    <w:name w:val="Unresolved Mention"/>
    <w:basedOn w:val="DefaultParagraphFont"/>
    <w:uiPriority w:val="99"/>
    <w:semiHidden w:val="1"/>
    <w:unhideWhenUsed w:val="1"/>
    <w:rsid w:val="00A83C80"/>
    <w:rPr>
      <w:color w:val="605e5c"/>
      <w:shd w:color="auto" w:fill="e1dfdd" w:val="clear"/>
    </w:rPr>
  </w:style>
  <w:style w:type="character" w:styleId="CommentReference">
    <w:name w:val="annotation reference"/>
    <w:basedOn w:val="DefaultParagraphFont"/>
    <w:uiPriority w:val="99"/>
    <w:semiHidden w:val="1"/>
    <w:unhideWhenUsed w:val="1"/>
    <w:rsid w:val="00516814"/>
    <w:rPr>
      <w:sz w:val="16"/>
      <w:szCs w:val="16"/>
    </w:rPr>
  </w:style>
  <w:style w:type="paragraph" w:styleId="CommentText">
    <w:name w:val="annotation text"/>
    <w:basedOn w:val="Normal"/>
    <w:link w:val="CommentTextChar"/>
    <w:uiPriority w:val="99"/>
    <w:semiHidden w:val="1"/>
    <w:unhideWhenUsed w:val="1"/>
    <w:rsid w:val="00AE36AB"/>
    <w:pPr>
      <w:spacing w:line="240" w:lineRule="auto"/>
    </w:pPr>
    <w:rPr>
      <w:sz w:val="20"/>
      <w:szCs w:val="20"/>
    </w:rPr>
  </w:style>
  <w:style w:type="character" w:styleId="CommentTextChar" w:customStyle="1">
    <w:name w:val="Comment Text Char"/>
    <w:basedOn w:val="DefaultParagraphFont"/>
    <w:link w:val="CommentText"/>
    <w:uiPriority w:val="99"/>
    <w:semiHidden w:val="1"/>
    <w:rsid w:val="00AE36AB"/>
    <w:rPr>
      <w:sz w:val="20"/>
      <w:szCs w:val="20"/>
    </w:rPr>
  </w:style>
  <w:style w:type="paragraph" w:styleId="CommentSubject">
    <w:name w:val="annotation subject"/>
    <w:basedOn w:val="CommentText"/>
    <w:next w:val="CommentText"/>
    <w:link w:val="CommentSubjectChar"/>
    <w:uiPriority w:val="99"/>
    <w:semiHidden w:val="1"/>
    <w:unhideWhenUsed w:val="1"/>
    <w:rsid w:val="00AE36AB"/>
    <w:rPr>
      <w:b w:val="1"/>
      <w:bCs w:val="1"/>
    </w:rPr>
  </w:style>
  <w:style w:type="character" w:styleId="CommentSubjectChar" w:customStyle="1">
    <w:name w:val="Comment Subject Char"/>
    <w:basedOn w:val="CommentTextChar"/>
    <w:link w:val="CommentSubject"/>
    <w:uiPriority w:val="99"/>
    <w:semiHidden w:val="1"/>
    <w:rsid w:val="00AE36AB"/>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SOa+Qky4+MlePMdBw0GMcRWVxw==">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2023-02-15T10:04:00Z</dcterms:created>
  <dc:creator>Josiane Tanios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bc4bb33ab591bdf5cd78937c585eda55093ee6762f70e28cd7993d0b1d8e9559</vt:lpwstr>
  </property>
</Properties>
</file>