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CF502" w14:textId="77777777" w:rsidR="00C8744B" w:rsidRDefault="00C8744B">
      <w:pPr>
        <w:jc w:val="both"/>
        <w:rPr>
          <w:b/>
          <w:u w:val="single"/>
        </w:rPr>
      </w:pPr>
    </w:p>
    <w:p w14:paraId="54DA4517" w14:textId="7AD3398C" w:rsidR="00C8744B" w:rsidRPr="00EE0D68" w:rsidRDefault="00000000" w:rsidP="00EE0D68">
      <w:pPr>
        <w:jc w:val="center"/>
        <w:rPr>
          <w:b/>
          <w:sz w:val="28"/>
          <w:szCs w:val="28"/>
        </w:rPr>
      </w:pPr>
      <w:r>
        <w:rPr>
          <w:b/>
          <w:sz w:val="28"/>
          <w:szCs w:val="28"/>
        </w:rPr>
        <w:t>Scope of Work</w:t>
      </w:r>
    </w:p>
    <w:p w14:paraId="5499794B" w14:textId="77777777" w:rsidR="00C8744B" w:rsidRDefault="00C8744B">
      <w:pPr>
        <w:jc w:val="both"/>
        <w:rPr>
          <w:sz w:val="24"/>
          <w:szCs w:val="24"/>
        </w:rPr>
      </w:pPr>
    </w:p>
    <w:p w14:paraId="1ECF0857" w14:textId="77777777" w:rsidR="00C8744B" w:rsidRDefault="00C8744B">
      <w:pPr>
        <w:spacing w:after="0" w:line="240" w:lineRule="auto"/>
        <w:jc w:val="both"/>
        <w:rPr>
          <w:sz w:val="24"/>
          <w:szCs w:val="24"/>
        </w:rPr>
      </w:pPr>
    </w:p>
    <w:p w14:paraId="077FC022" w14:textId="77777777" w:rsidR="00C8744B" w:rsidRDefault="00000000">
      <w:pPr>
        <w:jc w:val="both"/>
        <w:rPr>
          <w:b/>
          <w:sz w:val="24"/>
          <w:szCs w:val="24"/>
          <w:u w:val="single"/>
        </w:rPr>
      </w:pPr>
      <w:r>
        <w:rPr>
          <w:b/>
          <w:sz w:val="24"/>
          <w:szCs w:val="24"/>
          <w:u w:val="single"/>
        </w:rPr>
        <w:t>1- Background</w:t>
      </w:r>
    </w:p>
    <w:p w14:paraId="4AFA999D" w14:textId="77777777" w:rsidR="00C8744B" w:rsidRDefault="00000000">
      <w:pPr>
        <w:spacing w:before="200" w:after="0" w:line="240" w:lineRule="auto"/>
        <w:jc w:val="both"/>
        <w:rPr>
          <w:color w:val="434343"/>
        </w:rPr>
      </w:pPr>
      <w:r>
        <w:rPr>
          <w:color w:val="434343"/>
        </w:rPr>
        <w:t>Mercy Corps exists to alleviate suffering, poverty, and oppression by helping people build secure, productive, and just communities. The agency pursues its mission through emergency relief services, sustainable community development, civil society and economic development initiatives. Mercy Corps has been present in the Middle East since the 1980s and currently works in Yemen, Lebanon, Palestine, Jordan, Syria, and Iraq.</w:t>
      </w:r>
    </w:p>
    <w:p w14:paraId="0AE3FDE5" w14:textId="77777777" w:rsidR="00C8744B" w:rsidRDefault="00C8744B">
      <w:pPr>
        <w:spacing w:after="0" w:line="240" w:lineRule="auto"/>
        <w:jc w:val="both"/>
        <w:rPr>
          <w:color w:val="434343"/>
        </w:rPr>
      </w:pPr>
    </w:p>
    <w:p w14:paraId="678FF635" w14:textId="77777777" w:rsidR="00C8744B" w:rsidRDefault="00000000">
      <w:pPr>
        <w:spacing w:after="0" w:line="240" w:lineRule="auto"/>
        <w:jc w:val="both"/>
        <w:rPr>
          <w:color w:val="434343"/>
        </w:rPr>
      </w:pPr>
      <w:r>
        <w:rPr>
          <w:color w:val="434343"/>
        </w:rPr>
        <w:t>Working in Lebanon since 1993, Mercy Corps has implemented community development programs focused on promoting economic development and increased opportunity for disadvantaged communities, while responding to emergencies as they emerged in the country. In 2012, the program portfolio shifted in response to the massive refugee influx from Syria and Mercy Corps in Lebanon has solidified its emergency response programming while integrating longer-term development programming by focusing on key sectors: Protection, Water Sanitation and Hygiene (WASH), Governance and Conflict, and Livelihoods.</w:t>
      </w:r>
    </w:p>
    <w:p w14:paraId="18E53C0D" w14:textId="77777777" w:rsidR="00C8744B" w:rsidRDefault="00C8744B">
      <w:pPr>
        <w:spacing w:after="0" w:line="240" w:lineRule="auto"/>
        <w:jc w:val="both"/>
        <w:rPr>
          <w:color w:val="434343"/>
        </w:rPr>
      </w:pPr>
    </w:p>
    <w:p w14:paraId="2D3D8EAC" w14:textId="77777777" w:rsidR="00C8744B" w:rsidRDefault="00000000">
      <w:pPr>
        <w:jc w:val="both"/>
        <w:rPr>
          <w:b/>
          <w:sz w:val="24"/>
          <w:szCs w:val="24"/>
          <w:u w:val="single"/>
        </w:rPr>
      </w:pPr>
      <w:r>
        <w:rPr>
          <w:b/>
          <w:sz w:val="24"/>
          <w:szCs w:val="24"/>
          <w:u w:val="single"/>
        </w:rPr>
        <w:t xml:space="preserve">2- Program Description </w:t>
      </w:r>
    </w:p>
    <w:p w14:paraId="2D972F0F" w14:textId="77777777" w:rsidR="00C8744B" w:rsidRDefault="00000000">
      <w:pPr>
        <w:widowControl w:val="0"/>
        <w:spacing w:before="144" w:after="0" w:line="276" w:lineRule="auto"/>
        <w:ind w:right="-40"/>
        <w:jc w:val="both"/>
        <w:rPr>
          <w:color w:val="434343"/>
        </w:rPr>
      </w:pPr>
      <w:r>
        <w:rPr>
          <w:color w:val="434343"/>
        </w:rPr>
        <w:t>The “Fostering Resilience by Strengthening Abilities III” (FORSA III) program is a 1.3 million euro one-and-a-half-year (Jun 2023 - Dec 2024) program focusing on strengthening employment pathways within the digital economy. The program aims to facilitate access to employment through a holistic and integrated approach that builds the skills of young people aiming to increase their work readiness, while strengthening the capacities of the private sector to absorb and retain the skilled workforce. Hence, the program targets youth between the ages of 16-34 from Lebanese, Syrian and Palestinian communities; as well as key market actors such as co-working spaces, digital and agro-food businesses and TVET institutes - in targeted areas of Beirut-Mount Lebanon, Tripoli and Bekaa</w:t>
      </w:r>
    </w:p>
    <w:p w14:paraId="1BF50C5F" w14:textId="77777777" w:rsidR="00C8744B" w:rsidRDefault="00000000">
      <w:pPr>
        <w:widowControl w:val="0"/>
        <w:spacing w:before="144" w:after="0" w:line="276" w:lineRule="auto"/>
        <w:ind w:right="-40"/>
        <w:jc w:val="both"/>
        <w:rPr>
          <w:color w:val="434343"/>
        </w:rPr>
      </w:pPr>
      <w:r>
        <w:rPr>
          <w:color w:val="434343"/>
        </w:rPr>
        <w:t>The primary objectives of the program are that:</w:t>
      </w:r>
    </w:p>
    <w:p w14:paraId="22E85BA6" w14:textId="77777777" w:rsidR="00C8744B" w:rsidRDefault="00000000">
      <w:pPr>
        <w:widowControl w:val="0"/>
        <w:numPr>
          <w:ilvl w:val="0"/>
          <w:numId w:val="1"/>
        </w:numPr>
        <w:spacing w:before="144" w:after="0" w:line="276" w:lineRule="auto"/>
        <w:ind w:right="-40"/>
        <w:jc w:val="both"/>
        <w:rPr>
          <w:rFonts w:ascii="Arial" w:eastAsia="Arial" w:hAnsi="Arial" w:cs="Arial"/>
          <w:color w:val="666666"/>
          <w:sz w:val="20"/>
          <w:szCs w:val="20"/>
        </w:rPr>
      </w:pPr>
      <w:r>
        <w:rPr>
          <w:color w:val="434343"/>
        </w:rPr>
        <w:t>The digital community is more market-responsive and conducive to income-generating pathways for young women and men.</w:t>
      </w:r>
    </w:p>
    <w:p w14:paraId="4710BF8E" w14:textId="77777777" w:rsidR="00C8744B" w:rsidRDefault="00000000">
      <w:pPr>
        <w:widowControl w:val="0"/>
        <w:numPr>
          <w:ilvl w:val="0"/>
          <w:numId w:val="1"/>
        </w:numPr>
        <w:spacing w:after="0" w:line="276" w:lineRule="auto"/>
        <w:ind w:right="-40"/>
        <w:jc w:val="both"/>
        <w:rPr>
          <w:rFonts w:ascii="Arial" w:eastAsia="Arial" w:hAnsi="Arial" w:cs="Arial"/>
          <w:color w:val="666666"/>
          <w:sz w:val="20"/>
          <w:szCs w:val="20"/>
        </w:rPr>
      </w:pPr>
      <w:r>
        <w:rPr>
          <w:color w:val="434343"/>
        </w:rPr>
        <w:t>Local small and medium enterprises (SMEs) and institutions can start, sustain or grow their business operations.</w:t>
      </w:r>
    </w:p>
    <w:p w14:paraId="689172AA" w14:textId="77777777" w:rsidR="00C8744B" w:rsidRDefault="00C8744B">
      <w:pPr>
        <w:pBdr>
          <w:top w:val="nil"/>
          <w:left w:val="nil"/>
          <w:bottom w:val="nil"/>
          <w:right w:val="nil"/>
          <w:between w:val="nil"/>
        </w:pBdr>
        <w:jc w:val="both"/>
        <w:rPr>
          <w:color w:val="434343"/>
        </w:rPr>
      </w:pPr>
    </w:p>
    <w:p w14:paraId="2EE8D9EC" w14:textId="77777777" w:rsidR="00C8744B" w:rsidRDefault="00000000">
      <w:pPr>
        <w:pBdr>
          <w:top w:val="nil"/>
          <w:left w:val="nil"/>
          <w:bottom w:val="nil"/>
          <w:right w:val="nil"/>
          <w:between w:val="nil"/>
        </w:pBdr>
        <w:spacing w:after="0"/>
        <w:jc w:val="both"/>
        <w:rPr>
          <w:color w:val="434343"/>
        </w:rPr>
      </w:pPr>
      <w:r>
        <w:rPr>
          <w:color w:val="434343"/>
        </w:rPr>
        <w:t>Under the program, Mercy Corps has selected a digital SME in need of General Data Protection Regulation (GDPR) Compliance services. The SME is a dynamic tech start-up offering HR solutions through mobile and web applications</w:t>
      </w:r>
    </w:p>
    <w:p w14:paraId="35FCF75F" w14:textId="77777777" w:rsidR="00C8744B" w:rsidRDefault="00C8744B">
      <w:pPr>
        <w:pBdr>
          <w:top w:val="nil"/>
          <w:left w:val="nil"/>
          <w:bottom w:val="nil"/>
          <w:right w:val="nil"/>
          <w:between w:val="nil"/>
        </w:pBdr>
        <w:jc w:val="both"/>
        <w:rPr>
          <w:color w:val="434343"/>
        </w:rPr>
      </w:pPr>
    </w:p>
    <w:p w14:paraId="44AAB9AC" w14:textId="77777777" w:rsidR="00C8744B" w:rsidRDefault="00000000">
      <w:pPr>
        <w:jc w:val="both"/>
        <w:rPr>
          <w:b/>
          <w:sz w:val="24"/>
          <w:szCs w:val="24"/>
          <w:u w:val="single"/>
        </w:rPr>
      </w:pPr>
      <w:r>
        <w:rPr>
          <w:b/>
          <w:sz w:val="24"/>
          <w:szCs w:val="24"/>
          <w:u w:val="single"/>
        </w:rPr>
        <w:lastRenderedPageBreak/>
        <w:t xml:space="preserve">3- Description of the Required Services </w:t>
      </w:r>
    </w:p>
    <w:p w14:paraId="64A1E43B" w14:textId="77777777" w:rsidR="00C8744B" w:rsidRDefault="00000000">
      <w:pPr>
        <w:pBdr>
          <w:top w:val="nil"/>
          <w:left w:val="nil"/>
          <w:bottom w:val="nil"/>
          <w:right w:val="nil"/>
          <w:between w:val="nil"/>
        </w:pBdr>
        <w:jc w:val="both"/>
        <w:rPr>
          <w:color w:val="434343"/>
        </w:rPr>
      </w:pPr>
      <w:r>
        <w:rPr>
          <w:color w:val="434343"/>
        </w:rPr>
        <w:t>Mercy Corps is seeking to contract a service provider / consultant / company to collaborate with the SME development team to ensure that their backend systems and database infrastructure are designed, built, and operated in compliance with GDPR requirements</w:t>
      </w:r>
    </w:p>
    <w:p w14:paraId="31BDA917" w14:textId="77777777" w:rsidR="00C8744B" w:rsidRDefault="00000000">
      <w:pPr>
        <w:pBdr>
          <w:top w:val="nil"/>
          <w:left w:val="nil"/>
          <w:bottom w:val="nil"/>
          <w:right w:val="nil"/>
          <w:between w:val="nil"/>
        </w:pBdr>
        <w:jc w:val="both"/>
        <w:rPr>
          <w:b/>
          <w:color w:val="434343"/>
        </w:rPr>
      </w:pPr>
      <w:r>
        <w:rPr>
          <w:b/>
          <w:sz w:val="24"/>
          <w:szCs w:val="24"/>
          <w:u w:val="single"/>
        </w:rPr>
        <w:t xml:space="preserve">4- Required tasks from the service provider </w:t>
      </w:r>
    </w:p>
    <w:p w14:paraId="540CA248" w14:textId="77777777" w:rsidR="00C8744B" w:rsidRDefault="00000000">
      <w:pPr>
        <w:numPr>
          <w:ilvl w:val="0"/>
          <w:numId w:val="3"/>
        </w:numPr>
        <w:spacing w:before="240" w:after="0" w:line="240" w:lineRule="auto"/>
        <w:jc w:val="both"/>
        <w:rPr>
          <w:color w:val="434343"/>
        </w:rPr>
      </w:pPr>
      <w:r>
        <w:rPr>
          <w:color w:val="434343"/>
        </w:rPr>
        <w:t>Conducting a thorough assessment of the SME’s to-be-developed backend architecture and database design to identify potential privacy risks and compliance gaps.</w:t>
      </w:r>
    </w:p>
    <w:p w14:paraId="03BA9693" w14:textId="77777777" w:rsidR="00C8744B" w:rsidRDefault="00000000">
      <w:pPr>
        <w:numPr>
          <w:ilvl w:val="0"/>
          <w:numId w:val="3"/>
        </w:numPr>
        <w:spacing w:after="0" w:line="240" w:lineRule="auto"/>
        <w:jc w:val="both"/>
        <w:rPr>
          <w:color w:val="434343"/>
        </w:rPr>
      </w:pPr>
      <w:r>
        <w:rPr>
          <w:color w:val="434343"/>
        </w:rPr>
        <w:t>Providing guidance and best practices for integrating GDPR principles into the backend development processes, including data minimization, purpose limitation, and data subject rights.</w:t>
      </w:r>
    </w:p>
    <w:p w14:paraId="282F46E4" w14:textId="77777777" w:rsidR="00C8744B" w:rsidRDefault="00000000">
      <w:pPr>
        <w:numPr>
          <w:ilvl w:val="0"/>
          <w:numId w:val="3"/>
        </w:numPr>
        <w:spacing w:after="0" w:line="240" w:lineRule="auto"/>
        <w:jc w:val="both"/>
        <w:rPr>
          <w:color w:val="434343"/>
        </w:rPr>
      </w:pPr>
      <w:r>
        <w:rPr>
          <w:color w:val="434343"/>
        </w:rPr>
        <w:t>Implementing technical measures to enhance data security and protect against unauthorized access, disclosure, or loss of personal data.</w:t>
      </w:r>
    </w:p>
    <w:p w14:paraId="38BF693A" w14:textId="77777777" w:rsidR="00C8744B" w:rsidRDefault="00000000">
      <w:pPr>
        <w:numPr>
          <w:ilvl w:val="0"/>
          <w:numId w:val="3"/>
        </w:numPr>
        <w:spacing w:after="0" w:line="240" w:lineRule="auto"/>
        <w:jc w:val="both"/>
        <w:rPr>
          <w:color w:val="434343"/>
        </w:rPr>
      </w:pPr>
      <w:r>
        <w:rPr>
          <w:color w:val="434343"/>
        </w:rPr>
        <w:t>Developing and implementing data retention and deletion policies to ensure that personal data is retained only for as long as necessary and securely disposed of when no longer needed.</w:t>
      </w:r>
    </w:p>
    <w:p w14:paraId="2234AC17" w14:textId="77777777" w:rsidR="00C8744B" w:rsidRDefault="00000000">
      <w:pPr>
        <w:numPr>
          <w:ilvl w:val="0"/>
          <w:numId w:val="3"/>
        </w:numPr>
        <w:spacing w:after="0" w:line="240" w:lineRule="auto"/>
        <w:jc w:val="both"/>
        <w:rPr>
          <w:color w:val="434343"/>
        </w:rPr>
      </w:pPr>
      <w:r>
        <w:rPr>
          <w:color w:val="434343"/>
        </w:rPr>
        <w:t>Integrating mechanisms for obtaining and managing user consent within the backend systems, including granular consent management and consent revocation mechanisms.</w:t>
      </w:r>
    </w:p>
    <w:p w14:paraId="59BAB5E9" w14:textId="77777777" w:rsidR="00C8744B" w:rsidRDefault="00000000">
      <w:pPr>
        <w:numPr>
          <w:ilvl w:val="0"/>
          <w:numId w:val="3"/>
        </w:numPr>
        <w:spacing w:after="0" w:line="240" w:lineRule="auto"/>
        <w:jc w:val="both"/>
        <w:rPr>
          <w:color w:val="434343"/>
        </w:rPr>
      </w:pPr>
      <w:r>
        <w:rPr>
          <w:color w:val="434343"/>
        </w:rPr>
        <w:t>Assisting with the development and implementation of privacy-enhancing features and functionalities, such as pseudonymization, encryption, and anonymization.</w:t>
      </w:r>
    </w:p>
    <w:p w14:paraId="6AE19764" w14:textId="77777777" w:rsidR="00C8744B" w:rsidRDefault="00000000">
      <w:pPr>
        <w:numPr>
          <w:ilvl w:val="0"/>
          <w:numId w:val="3"/>
        </w:numPr>
        <w:spacing w:after="0" w:line="240" w:lineRule="auto"/>
        <w:jc w:val="both"/>
        <w:rPr>
          <w:color w:val="434343"/>
        </w:rPr>
      </w:pPr>
      <w:r>
        <w:rPr>
          <w:color w:val="434343"/>
        </w:rPr>
        <w:t>Providing training and support to the SME’s development team on GDPR compliance requirements, best practices, and implementation strategies.</w:t>
      </w:r>
    </w:p>
    <w:p w14:paraId="6B79B8CF" w14:textId="77777777" w:rsidR="00C8744B" w:rsidRDefault="00000000">
      <w:pPr>
        <w:numPr>
          <w:ilvl w:val="0"/>
          <w:numId w:val="3"/>
        </w:numPr>
        <w:spacing w:after="0" w:line="240" w:lineRule="auto"/>
        <w:jc w:val="both"/>
        <w:rPr>
          <w:color w:val="434343"/>
        </w:rPr>
      </w:pPr>
      <w:r>
        <w:rPr>
          <w:color w:val="434343"/>
        </w:rPr>
        <w:t>Conducting regular audits and assessments of the backend systems and database infrastructure to monitor compliance, identify potential risks, and implement necessary remediation measures.</w:t>
      </w:r>
    </w:p>
    <w:p w14:paraId="37B3C32D" w14:textId="77777777" w:rsidR="00C8744B" w:rsidRDefault="00000000">
      <w:pPr>
        <w:numPr>
          <w:ilvl w:val="0"/>
          <w:numId w:val="3"/>
        </w:numPr>
        <w:spacing w:after="0" w:line="240" w:lineRule="auto"/>
        <w:jc w:val="both"/>
        <w:rPr>
          <w:color w:val="434343"/>
        </w:rPr>
      </w:pPr>
      <w:r>
        <w:rPr>
          <w:color w:val="434343"/>
        </w:rPr>
        <w:t>Outlining the necessary technical and nontechnical procedures to confidently assert that the company is GDPR compliant</w:t>
      </w:r>
    </w:p>
    <w:p w14:paraId="0653776F" w14:textId="77777777" w:rsidR="00C8744B" w:rsidRDefault="00000000">
      <w:pPr>
        <w:numPr>
          <w:ilvl w:val="0"/>
          <w:numId w:val="3"/>
        </w:numPr>
        <w:spacing w:after="0" w:line="240" w:lineRule="auto"/>
        <w:jc w:val="both"/>
        <w:rPr>
          <w:color w:val="434343"/>
        </w:rPr>
      </w:pPr>
      <w:r>
        <w:rPr>
          <w:color w:val="434343"/>
        </w:rPr>
        <w:t>Serving as a trusted advisor and resource for ongoing GDPR compliance efforts, providing guidance, support, and expertise as needed.</w:t>
      </w:r>
    </w:p>
    <w:p w14:paraId="4B1987E2" w14:textId="77777777" w:rsidR="00C8744B" w:rsidRDefault="00000000">
      <w:pPr>
        <w:numPr>
          <w:ilvl w:val="0"/>
          <w:numId w:val="3"/>
        </w:numPr>
        <w:spacing w:after="240" w:line="240" w:lineRule="auto"/>
        <w:jc w:val="both"/>
        <w:rPr>
          <w:color w:val="434343"/>
        </w:rPr>
      </w:pPr>
      <w:r>
        <w:rPr>
          <w:color w:val="434343"/>
        </w:rPr>
        <w:t>Provide a final report documenting the policies adopted, measures taken, as well as recommendations and next steps.</w:t>
      </w:r>
    </w:p>
    <w:p w14:paraId="2D7EC989" w14:textId="77777777" w:rsidR="00C8744B" w:rsidRDefault="00C8744B">
      <w:pPr>
        <w:spacing w:after="0" w:line="276" w:lineRule="auto"/>
        <w:ind w:left="720"/>
        <w:jc w:val="both"/>
        <w:rPr>
          <w:color w:val="434343"/>
        </w:rPr>
      </w:pPr>
    </w:p>
    <w:p w14:paraId="74065DD7" w14:textId="77777777" w:rsidR="00C8744B" w:rsidRDefault="00000000">
      <w:pPr>
        <w:numPr>
          <w:ilvl w:val="0"/>
          <w:numId w:val="4"/>
        </w:numPr>
        <w:spacing w:after="0" w:line="276" w:lineRule="auto"/>
        <w:ind w:left="270"/>
        <w:jc w:val="both"/>
        <w:rPr>
          <w:i/>
          <w:color w:val="434343"/>
          <w:sz w:val="20"/>
          <w:szCs w:val="20"/>
        </w:rPr>
      </w:pPr>
      <w:r>
        <w:rPr>
          <w:i/>
          <w:color w:val="434343"/>
          <w:sz w:val="20"/>
          <w:szCs w:val="20"/>
        </w:rPr>
        <w:t xml:space="preserve">All sessions need to be documented through notes and action points. </w:t>
      </w:r>
    </w:p>
    <w:p w14:paraId="334AEF7A" w14:textId="77777777" w:rsidR="00C8744B" w:rsidRDefault="00000000">
      <w:pPr>
        <w:numPr>
          <w:ilvl w:val="0"/>
          <w:numId w:val="4"/>
        </w:numPr>
        <w:spacing w:after="0" w:line="276" w:lineRule="auto"/>
        <w:ind w:left="270"/>
        <w:jc w:val="both"/>
        <w:rPr>
          <w:i/>
          <w:color w:val="434343"/>
          <w:sz w:val="20"/>
          <w:szCs w:val="20"/>
        </w:rPr>
      </w:pPr>
      <w:r>
        <w:rPr>
          <w:i/>
          <w:color w:val="434343"/>
          <w:sz w:val="20"/>
          <w:szCs w:val="20"/>
        </w:rPr>
        <w:t xml:space="preserve">If a session is held online it needs to be recorded. </w:t>
      </w:r>
    </w:p>
    <w:p w14:paraId="5CD1E439" w14:textId="77777777" w:rsidR="00C8744B" w:rsidRDefault="00000000">
      <w:pPr>
        <w:numPr>
          <w:ilvl w:val="0"/>
          <w:numId w:val="4"/>
        </w:numPr>
        <w:spacing w:after="0" w:line="276" w:lineRule="auto"/>
        <w:ind w:left="270"/>
        <w:jc w:val="both"/>
        <w:rPr>
          <w:i/>
          <w:color w:val="434343"/>
          <w:sz w:val="20"/>
          <w:szCs w:val="20"/>
        </w:rPr>
      </w:pPr>
      <w:r>
        <w:rPr>
          <w:i/>
          <w:color w:val="434343"/>
          <w:sz w:val="20"/>
          <w:szCs w:val="20"/>
        </w:rPr>
        <w:t>All tools developed shall be sent to MC for approval prior to sharing it with the business.</w:t>
      </w:r>
    </w:p>
    <w:p w14:paraId="7B2D54CA" w14:textId="77777777" w:rsidR="00C8744B" w:rsidRDefault="00000000">
      <w:pPr>
        <w:numPr>
          <w:ilvl w:val="0"/>
          <w:numId w:val="4"/>
        </w:numPr>
        <w:spacing w:after="0" w:line="276" w:lineRule="auto"/>
        <w:ind w:left="270"/>
        <w:jc w:val="both"/>
        <w:rPr>
          <w:i/>
          <w:color w:val="434343"/>
          <w:sz w:val="20"/>
          <w:szCs w:val="20"/>
        </w:rPr>
      </w:pPr>
      <w:r>
        <w:rPr>
          <w:i/>
          <w:color w:val="434343"/>
          <w:sz w:val="20"/>
          <w:szCs w:val="20"/>
        </w:rPr>
        <w:t xml:space="preserve">The consultant will inform the MC team if an upcoming session will be held online or in person. </w:t>
      </w:r>
    </w:p>
    <w:p w14:paraId="151AD3C7" w14:textId="77777777" w:rsidR="00C8744B" w:rsidRDefault="00000000">
      <w:pPr>
        <w:numPr>
          <w:ilvl w:val="0"/>
          <w:numId w:val="4"/>
        </w:numPr>
        <w:spacing w:after="0" w:line="276" w:lineRule="auto"/>
        <w:ind w:left="270"/>
        <w:jc w:val="both"/>
        <w:rPr>
          <w:i/>
          <w:color w:val="434343"/>
          <w:sz w:val="20"/>
          <w:szCs w:val="20"/>
        </w:rPr>
      </w:pPr>
      <w:r>
        <w:rPr>
          <w:i/>
          <w:color w:val="434343"/>
          <w:sz w:val="20"/>
          <w:szCs w:val="20"/>
        </w:rPr>
        <w:t xml:space="preserve">The consultant will inform the MC team about the upcoming session 3 working days before the set date. </w:t>
      </w:r>
    </w:p>
    <w:p w14:paraId="413B3FA7" w14:textId="77777777" w:rsidR="00C8744B" w:rsidRDefault="00000000">
      <w:pPr>
        <w:numPr>
          <w:ilvl w:val="0"/>
          <w:numId w:val="4"/>
        </w:numPr>
        <w:spacing w:after="0" w:line="276" w:lineRule="auto"/>
        <w:ind w:left="270"/>
        <w:jc w:val="both"/>
        <w:rPr>
          <w:i/>
          <w:color w:val="434343"/>
          <w:sz w:val="20"/>
          <w:szCs w:val="20"/>
        </w:rPr>
      </w:pPr>
      <w:r>
        <w:rPr>
          <w:i/>
          <w:color w:val="434343"/>
          <w:sz w:val="20"/>
          <w:szCs w:val="20"/>
        </w:rPr>
        <w:t>The consultant shall have a weekly phone check-in with the MC team to communicate progress and challenges as well as through a bi-weekly email</w:t>
      </w:r>
    </w:p>
    <w:p w14:paraId="1905B2A7" w14:textId="77777777" w:rsidR="00C8744B" w:rsidRDefault="00C8744B">
      <w:pPr>
        <w:pBdr>
          <w:top w:val="nil"/>
          <w:left w:val="nil"/>
          <w:bottom w:val="nil"/>
          <w:right w:val="nil"/>
          <w:between w:val="nil"/>
        </w:pBdr>
        <w:spacing w:after="0" w:line="276" w:lineRule="auto"/>
        <w:ind w:left="720"/>
        <w:jc w:val="both"/>
        <w:rPr>
          <w:color w:val="434343"/>
        </w:rPr>
      </w:pPr>
    </w:p>
    <w:p w14:paraId="0AA36100" w14:textId="77777777" w:rsidR="00C8744B" w:rsidRDefault="00000000">
      <w:pPr>
        <w:pBdr>
          <w:top w:val="nil"/>
          <w:left w:val="nil"/>
          <w:bottom w:val="nil"/>
          <w:right w:val="nil"/>
          <w:between w:val="nil"/>
        </w:pBdr>
        <w:jc w:val="both"/>
        <w:rPr>
          <w:b/>
          <w:sz w:val="24"/>
          <w:szCs w:val="24"/>
          <w:u w:val="single"/>
        </w:rPr>
      </w:pPr>
      <w:r>
        <w:rPr>
          <w:b/>
          <w:sz w:val="24"/>
          <w:szCs w:val="24"/>
          <w:u w:val="single"/>
        </w:rPr>
        <w:t>5- Submittals:</w:t>
      </w:r>
    </w:p>
    <w:p w14:paraId="38CCF68C" w14:textId="77777777" w:rsidR="00C8744B" w:rsidRDefault="00000000">
      <w:pPr>
        <w:pBdr>
          <w:top w:val="nil"/>
          <w:left w:val="nil"/>
          <w:bottom w:val="nil"/>
          <w:right w:val="nil"/>
          <w:between w:val="nil"/>
        </w:pBdr>
        <w:jc w:val="both"/>
        <w:rPr>
          <w:color w:val="434343"/>
        </w:rPr>
      </w:pPr>
      <w:r>
        <w:rPr>
          <w:color w:val="434343"/>
        </w:rPr>
        <w:t>The service provider should submit the following documents:</w:t>
      </w:r>
    </w:p>
    <w:p w14:paraId="2A1B1F85" w14:textId="77777777" w:rsidR="00C8744B" w:rsidRDefault="00000000">
      <w:pPr>
        <w:numPr>
          <w:ilvl w:val="0"/>
          <w:numId w:val="5"/>
        </w:numPr>
        <w:pBdr>
          <w:top w:val="nil"/>
          <w:left w:val="nil"/>
          <w:bottom w:val="nil"/>
          <w:right w:val="nil"/>
          <w:between w:val="nil"/>
        </w:pBdr>
        <w:spacing w:after="0"/>
        <w:jc w:val="both"/>
      </w:pPr>
      <w:r>
        <w:rPr>
          <w:color w:val="434343"/>
        </w:rPr>
        <w:lastRenderedPageBreak/>
        <w:t>Company/Consultant Profile (detailing profile of the applicant and experience in GDPR compliance, particularly as it relates to tech companies, backend development and database infrastructure)</w:t>
      </w:r>
    </w:p>
    <w:p w14:paraId="6D94EFCE" w14:textId="77777777" w:rsidR="00C8744B" w:rsidRDefault="00000000">
      <w:pPr>
        <w:numPr>
          <w:ilvl w:val="0"/>
          <w:numId w:val="5"/>
        </w:numPr>
        <w:pBdr>
          <w:top w:val="nil"/>
          <w:left w:val="nil"/>
          <w:bottom w:val="nil"/>
          <w:right w:val="nil"/>
          <w:between w:val="nil"/>
        </w:pBdr>
        <w:spacing w:after="0"/>
        <w:jc w:val="both"/>
      </w:pPr>
      <w:r>
        <w:rPr>
          <w:color w:val="434343"/>
        </w:rPr>
        <w:t xml:space="preserve">Consultant CVs (CVs of personnel to be assigned to the project - CVs should reflect specific experience in GDPR principles, regulations, requirements, with a focus on backend development and database management) </w:t>
      </w:r>
    </w:p>
    <w:p w14:paraId="05C09E69" w14:textId="77777777" w:rsidR="00C8744B" w:rsidRDefault="00000000">
      <w:pPr>
        <w:numPr>
          <w:ilvl w:val="0"/>
          <w:numId w:val="5"/>
        </w:numPr>
        <w:pBdr>
          <w:top w:val="nil"/>
          <w:left w:val="nil"/>
          <w:bottom w:val="nil"/>
          <w:right w:val="nil"/>
          <w:between w:val="nil"/>
        </w:pBdr>
        <w:spacing w:after="0"/>
        <w:jc w:val="both"/>
      </w:pPr>
      <w:r>
        <w:rPr>
          <w:color w:val="434343"/>
        </w:rPr>
        <w:t>List of similar projects conducted plus a list of references for similar projects conducted (at least 3 references with names, phone numbers, and brief on consultancy conducted)</w:t>
      </w:r>
    </w:p>
    <w:p w14:paraId="4989DD43" w14:textId="77777777" w:rsidR="00C8744B" w:rsidRDefault="00000000">
      <w:pPr>
        <w:numPr>
          <w:ilvl w:val="0"/>
          <w:numId w:val="2"/>
        </w:numPr>
        <w:spacing w:after="0"/>
        <w:jc w:val="both"/>
        <w:rPr>
          <w:color w:val="434343"/>
        </w:rPr>
      </w:pPr>
      <w:r>
        <w:rPr>
          <w:color w:val="434343"/>
        </w:rPr>
        <w:t>Suggested methodology (include suggested tools or materials to be used, if any)</w:t>
      </w:r>
    </w:p>
    <w:p w14:paraId="48FA393E" w14:textId="77777777" w:rsidR="00C8744B" w:rsidRDefault="00000000">
      <w:pPr>
        <w:numPr>
          <w:ilvl w:val="0"/>
          <w:numId w:val="5"/>
        </w:numPr>
        <w:pBdr>
          <w:top w:val="nil"/>
          <w:left w:val="nil"/>
          <w:bottom w:val="nil"/>
          <w:right w:val="nil"/>
          <w:between w:val="nil"/>
        </w:pBdr>
        <w:spacing w:after="0"/>
        <w:jc w:val="both"/>
      </w:pPr>
      <w:r>
        <w:rPr>
          <w:color w:val="434343"/>
        </w:rPr>
        <w:t xml:space="preserve">Fill the below costing table with all relevant costs associated with the SOW </w:t>
      </w:r>
    </w:p>
    <w:p w14:paraId="4272DA90" w14:textId="77777777" w:rsidR="00C8744B" w:rsidRDefault="00C8744B">
      <w:pPr>
        <w:pBdr>
          <w:top w:val="nil"/>
          <w:left w:val="nil"/>
          <w:bottom w:val="nil"/>
          <w:right w:val="nil"/>
          <w:between w:val="nil"/>
        </w:pBdr>
        <w:spacing w:after="0"/>
        <w:ind w:left="720"/>
        <w:jc w:val="both"/>
        <w:rPr>
          <w:color w:val="434343"/>
        </w:rPr>
      </w:pPr>
    </w:p>
    <w:tbl>
      <w:tblPr>
        <w:tblStyle w:val="a5"/>
        <w:tblW w:w="6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C8744B" w14:paraId="14A825AA" w14:textId="77777777">
        <w:tc>
          <w:tcPr>
            <w:tcW w:w="3116" w:type="dxa"/>
            <w:shd w:val="clear" w:color="auto" w:fill="8DB3E2"/>
          </w:tcPr>
          <w:p w14:paraId="4B379463" w14:textId="77777777" w:rsidR="00C8744B" w:rsidRDefault="00000000">
            <w:pPr>
              <w:jc w:val="center"/>
              <w:rPr>
                <w:color w:val="434343"/>
              </w:rPr>
            </w:pPr>
            <w:r>
              <w:rPr>
                <w:color w:val="434343"/>
              </w:rPr>
              <w:t>Service</w:t>
            </w:r>
          </w:p>
        </w:tc>
        <w:tc>
          <w:tcPr>
            <w:tcW w:w="3117" w:type="dxa"/>
            <w:shd w:val="clear" w:color="auto" w:fill="8DB3E2"/>
          </w:tcPr>
          <w:p w14:paraId="2E447E25" w14:textId="77777777" w:rsidR="00C8744B" w:rsidRDefault="00000000">
            <w:pPr>
              <w:jc w:val="center"/>
              <w:rPr>
                <w:color w:val="434343"/>
              </w:rPr>
            </w:pPr>
            <w:r>
              <w:rPr>
                <w:color w:val="434343"/>
              </w:rPr>
              <w:t>Cost  in USD</w:t>
            </w:r>
          </w:p>
        </w:tc>
      </w:tr>
      <w:tr w:rsidR="00C8744B" w14:paraId="3442D4CD" w14:textId="77777777">
        <w:tc>
          <w:tcPr>
            <w:tcW w:w="3116" w:type="dxa"/>
          </w:tcPr>
          <w:p w14:paraId="11B9A488" w14:textId="77777777" w:rsidR="00C8744B" w:rsidRDefault="00C8744B">
            <w:pPr>
              <w:pBdr>
                <w:top w:val="nil"/>
                <w:left w:val="nil"/>
                <w:bottom w:val="nil"/>
                <w:right w:val="nil"/>
                <w:between w:val="nil"/>
              </w:pBdr>
              <w:spacing w:line="259" w:lineRule="auto"/>
              <w:jc w:val="both"/>
              <w:rPr>
                <w:color w:val="434343"/>
              </w:rPr>
            </w:pPr>
          </w:p>
        </w:tc>
        <w:tc>
          <w:tcPr>
            <w:tcW w:w="3117" w:type="dxa"/>
          </w:tcPr>
          <w:p w14:paraId="19E9AA9C" w14:textId="77777777" w:rsidR="00C8744B" w:rsidRDefault="00C8744B">
            <w:pPr>
              <w:pBdr>
                <w:top w:val="nil"/>
                <w:left w:val="nil"/>
                <w:bottom w:val="nil"/>
                <w:right w:val="nil"/>
                <w:between w:val="nil"/>
              </w:pBdr>
              <w:spacing w:line="259" w:lineRule="auto"/>
              <w:jc w:val="both"/>
              <w:rPr>
                <w:color w:val="434343"/>
              </w:rPr>
            </w:pPr>
          </w:p>
        </w:tc>
      </w:tr>
      <w:tr w:rsidR="00C8744B" w14:paraId="20BD76B2" w14:textId="77777777">
        <w:tc>
          <w:tcPr>
            <w:tcW w:w="3116" w:type="dxa"/>
          </w:tcPr>
          <w:p w14:paraId="02EA83CF" w14:textId="77777777" w:rsidR="00C8744B" w:rsidRDefault="00C8744B">
            <w:pPr>
              <w:pBdr>
                <w:top w:val="nil"/>
                <w:left w:val="nil"/>
                <w:bottom w:val="nil"/>
                <w:right w:val="nil"/>
                <w:between w:val="nil"/>
              </w:pBdr>
              <w:spacing w:line="259" w:lineRule="auto"/>
              <w:jc w:val="both"/>
              <w:rPr>
                <w:color w:val="434343"/>
              </w:rPr>
            </w:pPr>
          </w:p>
        </w:tc>
        <w:tc>
          <w:tcPr>
            <w:tcW w:w="3117" w:type="dxa"/>
          </w:tcPr>
          <w:p w14:paraId="79CF4CAD" w14:textId="77777777" w:rsidR="00C8744B" w:rsidRDefault="00C8744B">
            <w:pPr>
              <w:pBdr>
                <w:top w:val="nil"/>
                <w:left w:val="nil"/>
                <w:bottom w:val="nil"/>
                <w:right w:val="nil"/>
                <w:between w:val="nil"/>
              </w:pBdr>
              <w:spacing w:line="259" w:lineRule="auto"/>
              <w:jc w:val="both"/>
              <w:rPr>
                <w:color w:val="434343"/>
              </w:rPr>
            </w:pPr>
          </w:p>
        </w:tc>
      </w:tr>
      <w:tr w:rsidR="00C8744B" w14:paraId="2358B581" w14:textId="77777777">
        <w:tc>
          <w:tcPr>
            <w:tcW w:w="3116" w:type="dxa"/>
          </w:tcPr>
          <w:p w14:paraId="1F7F6029" w14:textId="77777777" w:rsidR="00C8744B" w:rsidRDefault="00C8744B">
            <w:pPr>
              <w:pBdr>
                <w:top w:val="nil"/>
                <w:left w:val="nil"/>
                <w:bottom w:val="nil"/>
                <w:right w:val="nil"/>
                <w:between w:val="nil"/>
              </w:pBdr>
              <w:spacing w:line="259" w:lineRule="auto"/>
              <w:jc w:val="both"/>
              <w:rPr>
                <w:color w:val="434343"/>
              </w:rPr>
            </w:pPr>
          </w:p>
        </w:tc>
        <w:tc>
          <w:tcPr>
            <w:tcW w:w="3117" w:type="dxa"/>
          </w:tcPr>
          <w:p w14:paraId="7498C208" w14:textId="77777777" w:rsidR="00C8744B" w:rsidRDefault="00C8744B">
            <w:pPr>
              <w:pBdr>
                <w:top w:val="nil"/>
                <w:left w:val="nil"/>
                <w:bottom w:val="nil"/>
                <w:right w:val="nil"/>
                <w:between w:val="nil"/>
              </w:pBdr>
              <w:spacing w:line="259" w:lineRule="auto"/>
              <w:jc w:val="both"/>
              <w:rPr>
                <w:color w:val="434343"/>
              </w:rPr>
            </w:pPr>
          </w:p>
        </w:tc>
      </w:tr>
      <w:tr w:rsidR="00C8744B" w14:paraId="2BE3FDC0" w14:textId="77777777">
        <w:tc>
          <w:tcPr>
            <w:tcW w:w="3116" w:type="dxa"/>
          </w:tcPr>
          <w:p w14:paraId="1D37CE70" w14:textId="77777777" w:rsidR="00C8744B" w:rsidRDefault="00C8744B">
            <w:pPr>
              <w:pBdr>
                <w:top w:val="nil"/>
                <w:left w:val="nil"/>
                <w:bottom w:val="nil"/>
                <w:right w:val="nil"/>
                <w:between w:val="nil"/>
              </w:pBdr>
              <w:spacing w:line="259" w:lineRule="auto"/>
              <w:jc w:val="both"/>
              <w:rPr>
                <w:color w:val="434343"/>
              </w:rPr>
            </w:pPr>
          </w:p>
        </w:tc>
        <w:tc>
          <w:tcPr>
            <w:tcW w:w="3117" w:type="dxa"/>
          </w:tcPr>
          <w:p w14:paraId="00F7577D" w14:textId="77777777" w:rsidR="00C8744B" w:rsidRDefault="00C8744B">
            <w:pPr>
              <w:pBdr>
                <w:top w:val="nil"/>
                <w:left w:val="nil"/>
                <w:bottom w:val="nil"/>
                <w:right w:val="nil"/>
                <w:between w:val="nil"/>
              </w:pBdr>
              <w:spacing w:line="259" w:lineRule="auto"/>
              <w:jc w:val="both"/>
              <w:rPr>
                <w:color w:val="434343"/>
              </w:rPr>
            </w:pPr>
          </w:p>
        </w:tc>
      </w:tr>
      <w:tr w:rsidR="00C8744B" w14:paraId="0EE24060" w14:textId="77777777">
        <w:tc>
          <w:tcPr>
            <w:tcW w:w="3116" w:type="dxa"/>
            <w:shd w:val="clear" w:color="auto" w:fill="8DB3E2"/>
          </w:tcPr>
          <w:p w14:paraId="648A7016" w14:textId="77777777" w:rsidR="00C8744B" w:rsidRDefault="00000000">
            <w:pPr>
              <w:jc w:val="center"/>
              <w:rPr>
                <w:color w:val="434343"/>
              </w:rPr>
            </w:pPr>
            <w:r>
              <w:rPr>
                <w:color w:val="434343"/>
              </w:rPr>
              <w:t>Total Cost (Including VAT)</w:t>
            </w:r>
          </w:p>
        </w:tc>
        <w:tc>
          <w:tcPr>
            <w:tcW w:w="3117" w:type="dxa"/>
            <w:shd w:val="clear" w:color="auto" w:fill="FFFFFF"/>
          </w:tcPr>
          <w:p w14:paraId="2DFAF052" w14:textId="77777777" w:rsidR="00C8744B" w:rsidRDefault="00C8744B">
            <w:pPr>
              <w:jc w:val="center"/>
              <w:rPr>
                <w:color w:val="434343"/>
              </w:rPr>
            </w:pPr>
          </w:p>
        </w:tc>
      </w:tr>
    </w:tbl>
    <w:p w14:paraId="18CC5A66" w14:textId="77777777" w:rsidR="00C8744B" w:rsidRDefault="00C8744B">
      <w:pPr>
        <w:pBdr>
          <w:top w:val="nil"/>
          <w:left w:val="nil"/>
          <w:bottom w:val="nil"/>
          <w:right w:val="nil"/>
          <w:between w:val="nil"/>
        </w:pBdr>
        <w:jc w:val="both"/>
      </w:pPr>
    </w:p>
    <w:p w14:paraId="72B4C561" w14:textId="77777777" w:rsidR="00C8744B" w:rsidRDefault="00000000">
      <w:pPr>
        <w:pBdr>
          <w:top w:val="nil"/>
          <w:left w:val="nil"/>
          <w:bottom w:val="nil"/>
          <w:right w:val="nil"/>
          <w:between w:val="nil"/>
        </w:pBdr>
        <w:jc w:val="both"/>
        <w:rPr>
          <w:b/>
          <w:u w:val="single"/>
        </w:rPr>
      </w:pPr>
      <w:r>
        <w:rPr>
          <w:b/>
          <w:sz w:val="24"/>
          <w:szCs w:val="24"/>
          <w:u w:val="single"/>
        </w:rPr>
        <w:t>6- Selection Criteria</w:t>
      </w:r>
      <w:r>
        <w:rPr>
          <w:b/>
          <w:u w:val="single"/>
        </w:rPr>
        <w:t xml:space="preserve"> </w:t>
      </w:r>
    </w:p>
    <w:p w14:paraId="1C0521A3" w14:textId="77777777" w:rsidR="00C8744B" w:rsidRDefault="00000000">
      <w:pPr>
        <w:pBdr>
          <w:top w:val="nil"/>
          <w:left w:val="nil"/>
          <w:bottom w:val="nil"/>
          <w:right w:val="nil"/>
          <w:between w:val="nil"/>
        </w:pBdr>
        <w:spacing w:after="0"/>
        <w:jc w:val="both"/>
        <w:rPr>
          <w:color w:val="434343"/>
        </w:rPr>
      </w:pPr>
      <w:r>
        <w:rPr>
          <w:color w:val="434343"/>
        </w:rPr>
        <w:t>The service provider is expected to meet the following qualifications:</w:t>
      </w:r>
    </w:p>
    <w:p w14:paraId="0BE82663" w14:textId="77777777" w:rsidR="00C8744B" w:rsidRDefault="00000000">
      <w:pPr>
        <w:numPr>
          <w:ilvl w:val="0"/>
          <w:numId w:val="5"/>
        </w:numPr>
        <w:pBdr>
          <w:top w:val="none" w:sz="0" w:space="0" w:color="D9D9E3"/>
          <w:left w:val="none" w:sz="0" w:space="0" w:color="D9D9E3"/>
          <w:bottom w:val="none" w:sz="0" w:space="0" w:color="D9D9E3"/>
          <w:right w:val="none" w:sz="0" w:space="0" w:color="D9D9E3"/>
          <w:between w:val="none" w:sz="0" w:space="0" w:color="D9D9E3"/>
        </w:pBdr>
        <w:spacing w:after="0"/>
        <w:rPr>
          <w:rFonts w:ascii="Roboto" w:eastAsia="Roboto" w:hAnsi="Roboto" w:cs="Roboto"/>
          <w:color w:val="374151"/>
          <w:sz w:val="24"/>
          <w:szCs w:val="24"/>
        </w:rPr>
      </w:pPr>
      <w:r>
        <w:rPr>
          <w:color w:val="434343"/>
        </w:rPr>
        <w:t>A proven track record in successfully assisting organizations in designing, building, and operating GDPR-compliant systems.</w:t>
      </w:r>
    </w:p>
    <w:p w14:paraId="641551F8" w14:textId="77777777" w:rsidR="00C8744B" w:rsidRDefault="00000000">
      <w:pPr>
        <w:numPr>
          <w:ilvl w:val="0"/>
          <w:numId w:val="5"/>
        </w:numPr>
        <w:pBdr>
          <w:top w:val="none" w:sz="0" w:space="0" w:color="D9D9E3"/>
          <w:left w:val="none" w:sz="0" w:space="0" w:color="D9D9E3"/>
          <w:bottom w:val="none" w:sz="0" w:space="0" w:color="D9D9E3"/>
          <w:right w:val="none" w:sz="0" w:space="0" w:color="D9D9E3"/>
          <w:between w:val="none" w:sz="0" w:space="0" w:color="D9D9E3"/>
        </w:pBdr>
        <w:spacing w:after="0"/>
        <w:rPr>
          <w:rFonts w:ascii="Roboto" w:eastAsia="Roboto" w:hAnsi="Roboto" w:cs="Roboto"/>
          <w:color w:val="374151"/>
          <w:sz w:val="24"/>
          <w:szCs w:val="24"/>
        </w:rPr>
      </w:pPr>
      <w:r>
        <w:rPr>
          <w:color w:val="434343"/>
        </w:rPr>
        <w:t>Extensive experience and expertise in GDPR compliance, particularly as it relates to tech companies, backend development and database infrastructure.</w:t>
      </w:r>
    </w:p>
    <w:p w14:paraId="20F6852A" w14:textId="77777777" w:rsidR="00C8744B" w:rsidRDefault="00000000">
      <w:pPr>
        <w:numPr>
          <w:ilvl w:val="0"/>
          <w:numId w:val="5"/>
        </w:numPr>
        <w:pBdr>
          <w:top w:val="none" w:sz="0" w:space="0" w:color="D9D9E3"/>
          <w:left w:val="none" w:sz="0" w:space="0" w:color="D9D9E3"/>
          <w:bottom w:val="none" w:sz="0" w:space="0" w:color="D9D9E3"/>
          <w:right w:val="none" w:sz="0" w:space="0" w:color="D9D9E3"/>
          <w:between w:val="none" w:sz="0" w:space="0" w:color="D9D9E3"/>
        </w:pBdr>
        <w:spacing w:after="0"/>
        <w:rPr>
          <w:rFonts w:ascii="Roboto" w:eastAsia="Roboto" w:hAnsi="Roboto" w:cs="Roboto"/>
          <w:color w:val="374151"/>
          <w:sz w:val="24"/>
          <w:szCs w:val="24"/>
        </w:rPr>
      </w:pPr>
      <w:r>
        <w:rPr>
          <w:color w:val="434343"/>
        </w:rPr>
        <w:t>In-depth knowledge of GDPR principles, regulations, and requirements, with a focus on backend development and database management.</w:t>
      </w:r>
    </w:p>
    <w:p w14:paraId="2C5F6F94" w14:textId="77777777" w:rsidR="00C8744B" w:rsidRDefault="00000000">
      <w:pPr>
        <w:numPr>
          <w:ilvl w:val="0"/>
          <w:numId w:val="5"/>
        </w:numPr>
        <w:pBdr>
          <w:top w:val="none" w:sz="0" w:space="0" w:color="D9D9E3"/>
          <w:left w:val="none" w:sz="0" w:space="0" w:color="D9D9E3"/>
          <w:bottom w:val="none" w:sz="0" w:space="0" w:color="D9D9E3"/>
          <w:right w:val="none" w:sz="0" w:space="0" w:color="D9D9E3"/>
          <w:between w:val="none" w:sz="0" w:space="0" w:color="D9D9E3"/>
        </w:pBdr>
        <w:spacing w:after="0"/>
        <w:rPr>
          <w:rFonts w:ascii="Roboto" w:eastAsia="Roboto" w:hAnsi="Roboto" w:cs="Roboto"/>
          <w:color w:val="374151"/>
          <w:sz w:val="24"/>
          <w:szCs w:val="24"/>
        </w:rPr>
      </w:pPr>
      <w:r>
        <w:rPr>
          <w:color w:val="434343"/>
        </w:rPr>
        <w:t>Strong technical skills and proficiency in relevant technologies, frameworks, and tools used in backend development and database administration.</w:t>
      </w:r>
    </w:p>
    <w:p w14:paraId="64485A01" w14:textId="77777777" w:rsidR="00C8744B" w:rsidRDefault="00000000">
      <w:pPr>
        <w:numPr>
          <w:ilvl w:val="0"/>
          <w:numId w:val="5"/>
        </w:numPr>
        <w:pBdr>
          <w:top w:val="none" w:sz="0" w:space="0" w:color="D9D9E3"/>
          <w:left w:val="none" w:sz="0" w:space="0" w:color="D9D9E3"/>
          <w:bottom w:val="none" w:sz="0" w:space="0" w:color="D9D9E3"/>
          <w:right w:val="none" w:sz="0" w:space="0" w:color="D9D9E3"/>
          <w:between w:val="none" w:sz="0" w:space="0" w:color="D9D9E3"/>
        </w:pBdr>
        <w:spacing w:after="0"/>
        <w:rPr>
          <w:rFonts w:ascii="Roboto" w:eastAsia="Roboto" w:hAnsi="Roboto" w:cs="Roboto"/>
          <w:color w:val="374151"/>
          <w:sz w:val="24"/>
          <w:szCs w:val="24"/>
        </w:rPr>
      </w:pPr>
      <w:r>
        <w:rPr>
          <w:color w:val="434343"/>
        </w:rPr>
        <w:t>Effective communication skills and the ability to collaborate closely with development teams to integrate GDPR compliance into backend, front-end and marketing development processes.</w:t>
      </w:r>
    </w:p>
    <w:p w14:paraId="46B1BF04" w14:textId="77777777" w:rsidR="00C8744B" w:rsidRDefault="00C8744B">
      <w:pPr>
        <w:pBdr>
          <w:top w:val="nil"/>
          <w:left w:val="nil"/>
          <w:bottom w:val="nil"/>
          <w:right w:val="nil"/>
          <w:between w:val="nil"/>
        </w:pBdr>
        <w:spacing w:after="0"/>
        <w:jc w:val="both"/>
      </w:pPr>
    </w:p>
    <w:p w14:paraId="2BF9D073" w14:textId="77777777" w:rsidR="00C8744B" w:rsidRDefault="00C8744B">
      <w:pPr>
        <w:spacing w:after="0"/>
        <w:jc w:val="both"/>
      </w:pPr>
    </w:p>
    <w:tbl>
      <w:tblPr>
        <w:tblStyle w:val="a6"/>
        <w:tblW w:w="933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50"/>
      </w:tblGrid>
      <w:tr w:rsidR="00C8744B" w14:paraId="04099341" w14:textId="77777777">
        <w:trPr>
          <w:trHeight w:val="45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E9702" w14:textId="77777777" w:rsidR="00C8744B" w:rsidRDefault="00000000">
            <w:pPr>
              <w:spacing w:before="240" w:line="276" w:lineRule="auto"/>
              <w:jc w:val="both"/>
              <w:rPr>
                <w:rFonts w:ascii="Arial" w:eastAsia="Arial" w:hAnsi="Arial" w:cs="Arial"/>
                <w:b/>
                <w:sz w:val="20"/>
                <w:szCs w:val="20"/>
              </w:rPr>
            </w:pPr>
            <w:r>
              <w:rPr>
                <w:rFonts w:ascii="Arial" w:eastAsia="Arial" w:hAnsi="Arial" w:cs="Arial"/>
                <w:b/>
                <w:sz w:val="20"/>
                <w:szCs w:val="20"/>
              </w:rPr>
              <w:t>Evaluation Criteria</w:t>
            </w:r>
          </w:p>
        </w:tc>
        <w:tc>
          <w:tcPr>
            <w:tcW w:w="4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B3E94B" w14:textId="77777777" w:rsidR="00C8744B" w:rsidRDefault="00000000">
            <w:pPr>
              <w:spacing w:before="240" w:line="276" w:lineRule="auto"/>
              <w:jc w:val="both"/>
              <w:rPr>
                <w:rFonts w:ascii="Arial" w:eastAsia="Arial" w:hAnsi="Arial" w:cs="Arial"/>
                <w:b/>
                <w:sz w:val="20"/>
                <w:szCs w:val="20"/>
              </w:rPr>
            </w:pPr>
            <w:r>
              <w:rPr>
                <w:rFonts w:ascii="Arial" w:eastAsia="Arial" w:hAnsi="Arial" w:cs="Arial"/>
                <w:b/>
                <w:sz w:val="20"/>
                <w:szCs w:val="20"/>
              </w:rPr>
              <w:t>Score</w:t>
            </w:r>
          </w:p>
        </w:tc>
      </w:tr>
      <w:tr w:rsidR="00C8744B" w14:paraId="0DFA5987" w14:textId="77777777">
        <w:trPr>
          <w:trHeight w:val="435"/>
        </w:trPr>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62D025" w14:textId="77777777" w:rsidR="00C8744B" w:rsidRDefault="00000000">
            <w:pPr>
              <w:spacing w:before="240" w:line="276" w:lineRule="auto"/>
              <w:jc w:val="both"/>
              <w:rPr>
                <w:rFonts w:ascii="Arial" w:eastAsia="Arial" w:hAnsi="Arial" w:cs="Arial"/>
                <w:sz w:val="20"/>
                <w:szCs w:val="20"/>
              </w:rPr>
            </w:pPr>
            <w:r>
              <w:rPr>
                <w:rFonts w:ascii="Arial" w:eastAsia="Arial" w:hAnsi="Arial" w:cs="Arial"/>
                <w:sz w:val="20"/>
                <w:szCs w:val="20"/>
              </w:rPr>
              <w:t>Company Profile and Previous Experience</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14:paraId="2FD809BD" w14:textId="77777777" w:rsidR="00C8744B" w:rsidRDefault="00000000">
            <w:pPr>
              <w:spacing w:before="240" w:line="276" w:lineRule="auto"/>
              <w:jc w:val="both"/>
              <w:rPr>
                <w:rFonts w:ascii="Arial" w:eastAsia="Arial" w:hAnsi="Arial" w:cs="Arial"/>
                <w:sz w:val="20"/>
                <w:szCs w:val="20"/>
              </w:rPr>
            </w:pPr>
            <w:r>
              <w:rPr>
                <w:rFonts w:ascii="Arial" w:eastAsia="Arial" w:hAnsi="Arial" w:cs="Arial"/>
                <w:sz w:val="20"/>
                <w:szCs w:val="20"/>
              </w:rPr>
              <w:t>20</w:t>
            </w:r>
          </w:p>
        </w:tc>
      </w:tr>
      <w:tr w:rsidR="00C8744B" w14:paraId="31D93237" w14:textId="77777777">
        <w:trPr>
          <w:trHeight w:val="435"/>
        </w:trPr>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49368E" w14:textId="77777777" w:rsidR="00C8744B" w:rsidRDefault="00000000">
            <w:pPr>
              <w:spacing w:before="240" w:line="276" w:lineRule="auto"/>
              <w:jc w:val="both"/>
              <w:rPr>
                <w:rFonts w:ascii="Arial" w:eastAsia="Arial" w:hAnsi="Arial" w:cs="Arial"/>
                <w:sz w:val="20"/>
                <w:szCs w:val="20"/>
              </w:rPr>
            </w:pPr>
            <w:r>
              <w:rPr>
                <w:rFonts w:ascii="Arial" w:eastAsia="Arial" w:hAnsi="Arial" w:cs="Arial"/>
                <w:sz w:val="20"/>
                <w:szCs w:val="20"/>
              </w:rPr>
              <w:lastRenderedPageBreak/>
              <w:t>Consultant CVs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14:paraId="0BBECD5D" w14:textId="77777777" w:rsidR="00C8744B" w:rsidRDefault="00000000">
            <w:pPr>
              <w:spacing w:before="240" w:line="276" w:lineRule="auto"/>
              <w:jc w:val="both"/>
              <w:rPr>
                <w:rFonts w:ascii="Arial" w:eastAsia="Arial" w:hAnsi="Arial" w:cs="Arial"/>
                <w:sz w:val="20"/>
                <w:szCs w:val="20"/>
              </w:rPr>
            </w:pPr>
            <w:r>
              <w:rPr>
                <w:rFonts w:ascii="Arial" w:eastAsia="Arial" w:hAnsi="Arial" w:cs="Arial"/>
                <w:sz w:val="20"/>
                <w:szCs w:val="20"/>
              </w:rPr>
              <w:t>20</w:t>
            </w:r>
          </w:p>
        </w:tc>
      </w:tr>
      <w:tr w:rsidR="00C8744B" w14:paraId="230FEC79" w14:textId="77777777">
        <w:trPr>
          <w:trHeight w:val="435"/>
        </w:trPr>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68421E" w14:textId="77777777" w:rsidR="00C8744B" w:rsidRDefault="00000000">
            <w:pPr>
              <w:spacing w:before="240" w:line="276" w:lineRule="auto"/>
              <w:jc w:val="both"/>
              <w:rPr>
                <w:rFonts w:ascii="Arial" w:eastAsia="Arial" w:hAnsi="Arial" w:cs="Arial"/>
                <w:sz w:val="20"/>
                <w:szCs w:val="20"/>
              </w:rPr>
            </w:pPr>
            <w:r>
              <w:rPr>
                <w:rFonts w:ascii="Arial" w:eastAsia="Arial" w:hAnsi="Arial" w:cs="Arial"/>
                <w:sz w:val="20"/>
                <w:szCs w:val="20"/>
              </w:rPr>
              <w:t>List of similar projects conducted plus references</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14:paraId="5EBD6671" w14:textId="77777777" w:rsidR="00C8744B" w:rsidRDefault="00000000">
            <w:pPr>
              <w:spacing w:before="240" w:line="276" w:lineRule="auto"/>
              <w:jc w:val="both"/>
              <w:rPr>
                <w:rFonts w:ascii="Arial" w:eastAsia="Arial" w:hAnsi="Arial" w:cs="Arial"/>
                <w:sz w:val="20"/>
                <w:szCs w:val="20"/>
              </w:rPr>
            </w:pPr>
            <w:r>
              <w:rPr>
                <w:rFonts w:ascii="Arial" w:eastAsia="Arial" w:hAnsi="Arial" w:cs="Arial"/>
                <w:sz w:val="20"/>
                <w:szCs w:val="20"/>
              </w:rPr>
              <w:t>15</w:t>
            </w:r>
          </w:p>
        </w:tc>
      </w:tr>
      <w:tr w:rsidR="00C8744B" w14:paraId="6924C873" w14:textId="77777777">
        <w:trPr>
          <w:trHeight w:val="435"/>
        </w:trPr>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EF9541" w14:textId="77777777" w:rsidR="00C8744B" w:rsidRDefault="00000000">
            <w:pPr>
              <w:spacing w:before="240" w:line="276" w:lineRule="auto"/>
              <w:jc w:val="both"/>
              <w:rPr>
                <w:rFonts w:ascii="Arial" w:eastAsia="Arial" w:hAnsi="Arial" w:cs="Arial"/>
                <w:sz w:val="20"/>
                <w:szCs w:val="20"/>
              </w:rPr>
            </w:pPr>
            <w:r>
              <w:rPr>
                <w:rFonts w:ascii="Arial" w:eastAsia="Arial" w:hAnsi="Arial" w:cs="Arial"/>
                <w:sz w:val="20"/>
                <w:szCs w:val="20"/>
              </w:rPr>
              <w:t>Suggested Methodology</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14:paraId="663DBA66" w14:textId="77777777" w:rsidR="00C8744B" w:rsidRDefault="00000000">
            <w:pPr>
              <w:spacing w:before="240" w:line="276" w:lineRule="auto"/>
              <w:jc w:val="both"/>
              <w:rPr>
                <w:rFonts w:ascii="Arial" w:eastAsia="Arial" w:hAnsi="Arial" w:cs="Arial"/>
                <w:sz w:val="20"/>
                <w:szCs w:val="20"/>
              </w:rPr>
            </w:pPr>
            <w:r>
              <w:rPr>
                <w:rFonts w:ascii="Arial" w:eastAsia="Arial" w:hAnsi="Arial" w:cs="Arial"/>
                <w:sz w:val="20"/>
                <w:szCs w:val="20"/>
              </w:rPr>
              <w:t>25</w:t>
            </w:r>
          </w:p>
        </w:tc>
      </w:tr>
      <w:tr w:rsidR="00C8744B" w14:paraId="42C470FF" w14:textId="77777777">
        <w:trPr>
          <w:trHeight w:val="435"/>
        </w:trPr>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2AC51C" w14:textId="77777777" w:rsidR="00C8744B" w:rsidRDefault="00000000">
            <w:pPr>
              <w:spacing w:before="240" w:line="276" w:lineRule="auto"/>
              <w:jc w:val="both"/>
              <w:rPr>
                <w:rFonts w:ascii="Arial" w:eastAsia="Arial" w:hAnsi="Arial" w:cs="Arial"/>
                <w:sz w:val="20"/>
                <w:szCs w:val="20"/>
              </w:rPr>
            </w:pPr>
            <w:r>
              <w:rPr>
                <w:rFonts w:ascii="Arial" w:eastAsia="Arial" w:hAnsi="Arial" w:cs="Arial"/>
                <w:sz w:val="20"/>
                <w:szCs w:val="20"/>
              </w:rPr>
              <w:t>Budget</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14:paraId="5AD89B23" w14:textId="77777777" w:rsidR="00C8744B" w:rsidRDefault="00000000">
            <w:pPr>
              <w:spacing w:before="240" w:line="276" w:lineRule="auto"/>
              <w:jc w:val="both"/>
              <w:rPr>
                <w:rFonts w:ascii="Arial" w:eastAsia="Arial" w:hAnsi="Arial" w:cs="Arial"/>
                <w:sz w:val="20"/>
                <w:szCs w:val="20"/>
              </w:rPr>
            </w:pPr>
            <w:r>
              <w:rPr>
                <w:rFonts w:ascii="Arial" w:eastAsia="Arial" w:hAnsi="Arial" w:cs="Arial"/>
                <w:sz w:val="20"/>
                <w:szCs w:val="20"/>
              </w:rPr>
              <w:t>20</w:t>
            </w:r>
          </w:p>
        </w:tc>
      </w:tr>
      <w:tr w:rsidR="00C8744B" w14:paraId="3683AAEC" w14:textId="77777777">
        <w:trPr>
          <w:trHeight w:val="450"/>
        </w:trPr>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2FB3F7" w14:textId="77777777" w:rsidR="00C8744B" w:rsidRDefault="00000000">
            <w:pPr>
              <w:spacing w:before="240" w:line="276" w:lineRule="auto"/>
              <w:jc w:val="both"/>
              <w:rPr>
                <w:rFonts w:ascii="Arial" w:eastAsia="Arial" w:hAnsi="Arial" w:cs="Arial"/>
                <w:b/>
                <w:sz w:val="20"/>
                <w:szCs w:val="20"/>
              </w:rPr>
            </w:pPr>
            <w:r>
              <w:rPr>
                <w:rFonts w:ascii="Arial" w:eastAsia="Arial" w:hAnsi="Arial" w:cs="Arial"/>
                <w:b/>
                <w:sz w:val="20"/>
                <w:szCs w:val="20"/>
              </w:rPr>
              <w:t>TOTAL</w:t>
            </w:r>
          </w:p>
        </w:tc>
        <w:tc>
          <w:tcPr>
            <w:tcW w:w="4650" w:type="dxa"/>
            <w:tcBorders>
              <w:top w:val="nil"/>
              <w:left w:val="nil"/>
              <w:bottom w:val="single" w:sz="8" w:space="0" w:color="000000"/>
              <w:right w:val="single" w:sz="8" w:space="0" w:color="000000"/>
            </w:tcBorders>
            <w:tcMar>
              <w:top w:w="100" w:type="dxa"/>
              <w:left w:w="100" w:type="dxa"/>
              <w:bottom w:w="100" w:type="dxa"/>
              <w:right w:w="100" w:type="dxa"/>
            </w:tcMar>
          </w:tcPr>
          <w:p w14:paraId="1217CF98" w14:textId="77777777" w:rsidR="00C8744B" w:rsidRDefault="00000000">
            <w:pPr>
              <w:spacing w:before="240" w:line="276" w:lineRule="auto"/>
              <w:jc w:val="both"/>
              <w:rPr>
                <w:rFonts w:ascii="Arial" w:eastAsia="Arial" w:hAnsi="Arial" w:cs="Arial"/>
                <w:b/>
                <w:sz w:val="20"/>
                <w:szCs w:val="20"/>
              </w:rPr>
            </w:pPr>
            <w:r>
              <w:rPr>
                <w:rFonts w:ascii="Arial" w:eastAsia="Arial" w:hAnsi="Arial" w:cs="Arial"/>
                <w:b/>
                <w:sz w:val="20"/>
                <w:szCs w:val="20"/>
              </w:rPr>
              <w:t>100</w:t>
            </w:r>
          </w:p>
        </w:tc>
      </w:tr>
    </w:tbl>
    <w:p w14:paraId="7440FC1E" w14:textId="77777777" w:rsidR="00C8744B" w:rsidRDefault="00C8744B">
      <w:pPr>
        <w:pBdr>
          <w:top w:val="nil"/>
          <w:left w:val="nil"/>
          <w:bottom w:val="nil"/>
          <w:right w:val="nil"/>
          <w:between w:val="nil"/>
        </w:pBdr>
        <w:spacing w:after="0"/>
        <w:jc w:val="both"/>
      </w:pPr>
    </w:p>
    <w:sectPr w:rsidR="00C8744B">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07A37" w14:textId="77777777" w:rsidR="00491B50" w:rsidRDefault="00491B50">
      <w:pPr>
        <w:spacing w:after="0" w:line="240" w:lineRule="auto"/>
      </w:pPr>
      <w:r>
        <w:separator/>
      </w:r>
    </w:p>
  </w:endnote>
  <w:endnote w:type="continuationSeparator" w:id="0">
    <w:p w14:paraId="27AC3601" w14:textId="77777777" w:rsidR="00491B50" w:rsidRDefault="00491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1807D20-5374-49CA-8591-BBD782465E9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3B5008F-E5AF-4AAA-9924-253A931AAA45}"/>
    <w:embedBold r:id="rId3" w:fontKey="{A45E52E4-111E-4E8D-89E6-4CDAA6DD340A}"/>
    <w:embedItalic r:id="rId4" w:fontKey="{8007CDB5-95F3-48C3-A061-A296FF78954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03E0FD3-2071-4269-A1F7-DC7466341112}"/>
    <w:embedItalic r:id="rId6" w:fontKey="{1FAEDBA5-F9E1-4975-9849-C18645A74E42}"/>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F8CBE8C7-D4E1-42C0-A867-5E37EF58108F}"/>
  </w:font>
  <w:font w:name="Cambria">
    <w:panose1 w:val="02040503050406030204"/>
    <w:charset w:val="00"/>
    <w:family w:val="roman"/>
    <w:pitch w:val="variable"/>
    <w:sig w:usb0="E00006FF" w:usb1="420024FF" w:usb2="02000000" w:usb3="00000000" w:csb0="0000019F" w:csb1="00000000"/>
    <w:embedRegular r:id="rId8" w:fontKey="{1C25A5DF-EA9B-4CEF-88A3-CADF5D7417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0A956" w14:textId="77777777" w:rsidR="00491B50" w:rsidRDefault="00491B50">
      <w:pPr>
        <w:spacing w:after="0" w:line="240" w:lineRule="auto"/>
      </w:pPr>
      <w:r>
        <w:separator/>
      </w:r>
    </w:p>
  </w:footnote>
  <w:footnote w:type="continuationSeparator" w:id="0">
    <w:p w14:paraId="2989AED9" w14:textId="77777777" w:rsidR="00491B50" w:rsidRDefault="00491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1A4D" w14:textId="77777777" w:rsidR="00C8744B" w:rsidRDefault="00000000">
    <w:r>
      <w:rPr>
        <w:b/>
        <w:noProof/>
        <w:u w:val="single"/>
      </w:rPr>
      <w:drawing>
        <wp:anchor distT="114300" distB="114300" distL="114300" distR="114300" simplePos="0" relativeHeight="251658240" behindDoc="0" locked="0" layoutInCell="1" hidden="0" allowOverlap="1" wp14:anchorId="48D472AD" wp14:editId="19403748">
          <wp:simplePos x="0" y="0"/>
          <wp:positionH relativeFrom="page">
            <wp:posOffset>2781300</wp:posOffset>
          </wp:positionH>
          <wp:positionV relativeFrom="page">
            <wp:posOffset>304800</wp:posOffset>
          </wp:positionV>
          <wp:extent cx="1205230" cy="386715"/>
          <wp:effectExtent l="0" t="0" r="0" b="0"/>
          <wp:wrapTopAndBottom distT="114300" distB="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05230" cy="386715"/>
                  </a:xfrm>
                  <a:prstGeom prst="rect">
                    <a:avLst/>
                  </a:prstGeom>
                  <a:ln/>
                </pic:spPr>
              </pic:pic>
            </a:graphicData>
          </a:graphic>
        </wp:anchor>
      </w:drawing>
    </w:r>
    <w:r>
      <w:rPr>
        <w:b/>
        <w:noProof/>
        <w:u w:val="single"/>
      </w:rPr>
      <w:drawing>
        <wp:anchor distT="114300" distB="114300" distL="114300" distR="114300" simplePos="0" relativeHeight="251659264" behindDoc="0" locked="0" layoutInCell="1" hidden="0" allowOverlap="1" wp14:anchorId="4F95963A" wp14:editId="38B11D71">
          <wp:simplePos x="0" y="0"/>
          <wp:positionH relativeFrom="margin">
            <wp:align>left</wp:align>
          </wp:positionH>
          <wp:positionV relativeFrom="page">
            <wp:posOffset>171450</wp:posOffset>
          </wp:positionV>
          <wp:extent cx="1403350" cy="571500"/>
          <wp:effectExtent l="0" t="0" r="0" b="0"/>
          <wp:wrapTopAndBottom distT="114300" distB="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6250" r="5937"/>
                  <a:stretch>
                    <a:fillRect/>
                  </a:stretch>
                </pic:blipFill>
                <pic:spPr>
                  <a:xfrm>
                    <a:off x="0" y="0"/>
                    <a:ext cx="1403350" cy="5715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DC340E1" wp14:editId="469CE6DB">
          <wp:simplePos x="0" y="0"/>
          <wp:positionH relativeFrom="column">
            <wp:posOffset>3644900</wp:posOffset>
          </wp:positionH>
          <wp:positionV relativeFrom="paragraph">
            <wp:posOffset>-222247</wp:posOffset>
          </wp:positionV>
          <wp:extent cx="960755" cy="463550"/>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60755" cy="4635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C5147CA" wp14:editId="253BB6E6">
          <wp:simplePos x="0" y="0"/>
          <wp:positionH relativeFrom="column">
            <wp:posOffset>5235575</wp:posOffset>
          </wp:positionH>
          <wp:positionV relativeFrom="paragraph">
            <wp:posOffset>-330197</wp:posOffset>
          </wp:positionV>
          <wp:extent cx="708025" cy="708025"/>
          <wp:effectExtent l="0" t="0" r="0" b="0"/>
          <wp:wrapSquare wrapText="bothSides" distT="0" distB="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708025" cy="7080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D4D5C"/>
    <w:multiLevelType w:val="multilevel"/>
    <w:tmpl w:val="2F7AC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5D4FA7"/>
    <w:multiLevelType w:val="multilevel"/>
    <w:tmpl w:val="040802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381B5C"/>
    <w:multiLevelType w:val="multilevel"/>
    <w:tmpl w:val="9E2A4CB6"/>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3" w15:restartNumberingAfterBreak="0">
    <w:nsid w:val="5E4F4C5C"/>
    <w:multiLevelType w:val="multilevel"/>
    <w:tmpl w:val="3CA2911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0A56AD"/>
    <w:multiLevelType w:val="multilevel"/>
    <w:tmpl w:val="F8DA6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8163337">
    <w:abstractNumId w:val="2"/>
  </w:num>
  <w:num w:numId="2" w16cid:durableId="1623732024">
    <w:abstractNumId w:val="1"/>
  </w:num>
  <w:num w:numId="3" w16cid:durableId="618947936">
    <w:abstractNumId w:val="0"/>
  </w:num>
  <w:num w:numId="4" w16cid:durableId="475682379">
    <w:abstractNumId w:val="4"/>
  </w:num>
  <w:num w:numId="5" w16cid:durableId="7340066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44B"/>
    <w:rsid w:val="00491B50"/>
    <w:rsid w:val="00C8744B"/>
    <w:rsid w:val="00EE0D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93187"/>
  <w15:docId w15:val="{0879D3EA-DB90-4B6E-AA85-6D4D9311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DFZQtH7VlEB1kGF1jN97KVGg==">CgMxLjA4AHIhMXdrdnJTczdWeDBUcFF2bDV3ZDJrTmZJci1MMDFtNDRF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1023</Words>
  <Characters>5833</Characters>
  <Application>Microsoft Office Word</Application>
  <DocSecurity>0</DocSecurity>
  <Lines>48</Lines>
  <Paragraphs>13</Paragraphs>
  <ScaleCrop>false</ScaleCrop>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 Atiyeh</cp:lastModifiedBy>
  <cp:revision>2</cp:revision>
  <dcterms:created xsi:type="dcterms:W3CDTF">2024-04-15T08:44:00Z</dcterms:created>
  <dcterms:modified xsi:type="dcterms:W3CDTF">2024-04-15T08:44:00Z</dcterms:modified>
</cp:coreProperties>
</file>