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24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Expression of Interest</w:t>
      </w:r>
    </w:p>
    <w:p w:rsidR="00000000" w:rsidDel="00000000" w:rsidP="00000000" w:rsidRDefault="00000000" w:rsidRPr="00000000" w14:paraId="00000002">
      <w:pPr>
        <w:widowControl w:val="0"/>
        <w:spacing w:after="240" w:line="240" w:lineRule="auto"/>
        <w:jc w:val="left"/>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003">
      <w:pPr>
        <w:widowControl w:val="0"/>
        <w:spacing w:after="240" w:line="240" w:lineRule="auto"/>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Mercy Corps is seeking expression of interest from financial service providers to provide information on financial services provided by the respective entity. Applicants are required to provide information on the questions provided below in order to detail products and services on offer.</w:t>
      </w:r>
    </w:p>
    <w:p w:rsidR="00000000" w:rsidDel="00000000" w:rsidP="00000000" w:rsidRDefault="00000000" w:rsidRPr="00000000" w14:paraId="00000004">
      <w:pPr>
        <w:widowControl w:val="0"/>
        <w:spacing w:after="240" w:line="240" w:lineRule="auto"/>
        <w:jc w:val="left"/>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No Financial Offer</w:t>
      </w:r>
      <w:r w:rsidDel="00000000" w:rsidR="00000000" w:rsidRPr="00000000">
        <w:rPr>
          <w:rFonts w:ascii="Cambria" w:cs="Cambria" w:eastAsia="Cambria" w:hAnsi="Cambria"/>
          <w:sz w:val="28"/>
          <w:szCs w:val="28"/>
          <w:rtl w:val="0"/>
        </w:rPr>
        <w:t xml:space="preserve"> should be submitted. </w:t>
      </w:r>
    </w:p>
    <w:p w:rsidR="00000000" w:rsidDel="00000000" w:rsidP="00000000" w:rsidRDefault="00000000" w:rsidRPr="00000000" w14:paraId="00000005">
      <w:pPr>
        <w:widowControl w:val="0"/>
        <w:spacing w:after="240" w:line="240" w:lineRule="auto"/>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There will be no selection or commitment from any party through this EOI.</w:t>
      </w:r>
    </w:p>
    <w:tbl>
      <w:tblPr>
        <w:tblStyle w:val="Table1"/>
        <w:tblW w:w="9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0"/>
        <w:gridCol w:w="6900"/>
        <w:tblGridChange w:id="0">
          <w:tblGrid>
            <w:gridCol w:w="2860"/>
            <w:gridCol w:w="6900"/>
          </w:tblGrid>
        </w:tblGridChange>
      </w:tblGrid>
      <w:tr>
        <w:trPr>
          <w:cantSplit w:val="0"/>
          <w:trHeight w:val="1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widowControl w:val="0"/>
              <w:spacing w:before="10" w:line="240" w:lineRule="auto"/>
              <w:ind w:left="18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7">
            <w:pPr>
              <w:widowControl w:val="0"/>
              <w:spacing w:before="1" w:line="240" w:lineRule="auto"/>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 Name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8">
            <w:pPr>
              <w:widowControl w:val="0"/>
              <w:spacing w:before="6"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9">
            <w:pPr>
              <w:widowControl w:val="0"/>
              <w:spacing w:line="240" w:lineRule="auto"/>
              <w:ind w:left="1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Contact Information (full name, address, country, telephone, email addresses, website, contact people)</w:t>
            </w:r>
          </w:p>
          <w:p w:rsidR="00000000" w:rsidDel="00000000" w:rsidP="00000000" w:rsidRDefault="00000000" w:rsidRPr="00000000" w14:paraId="0000000A">
            <w:pPr>
              <w:widowControl w:val="0"/>
              <w:spacing w:line="240" w:lineRule="auto"/>
              <w:ind w:left="1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spacing w:line="240" w:lineRule="auto"/>
              <w:ind w:left="141" w:firstLine="0"/>
              <w:rPr>
                <w:rFonts w:ascii="Times New Roman" w:cs="Times New Roman" w:eastAsia="Times New Roman" w:hAnsi="Times New Roman"/>
              </w:rPr>
            </w:pPr>
            <w:r w:rsidDel="00000000" w:rsidR="00000000" w:rsidRPr="00000000">
              <w:rPr>
                <w:rtl w:val="0"/>
              </w:rPr>
            </w:r>
          </w:p>
        </w:tc>
      </w:tr>
      <w:tr>
        <w:trPr>
          <w:cantSplit w:val="0"/>
          <w:trHeight w:val="4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before="2" w:line="240" w:lineRule="auto"/>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Financial Product Description </w:t>
            </w: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D">
            <w:pPr>
              <w:spacing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describe your payment options and/or other financial services: </w:t>
            </w:r>
          </w:p>
          <w:p w:rsidR="00000000" w:rsidDel="00000000" w:rsidP="00000000" w:rsidRDefault="00000000" w:rsidRPr="00000000" w14:paraId="0000000E">
            <w:pPr>
              <w:spacing w:line="259" w:lineRule="auto"/>
              <w:ind w:left="1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may include, but are not limited to:</w:t>
            </w:r>
          </w:p>
          <w:p w:rsidR="00000000" w:rsidDel="00000000" w:rsidP="00000000" w:rsidRDefault="00000000" w:rsidRPr="00000000" w14:paraId="0000000F">
            <w:pPr>
              <w:numPr>
                <w:ilvl w:val="0"/>
                <w:numId w:val="2"/>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Person to Person (P2B) transfers, including cross-border / remittances</w:t>
            </w:r>
          </w:p>
          <w:p w:rsidR="00000000" w:rsidDel="00000000" w:rsidP="00000000" w:rsidRDefault="00000000" w:rsidRPr="00000000" w14:paraId="00000010">
            <w:pPr>
              <w:numPr>
                <w:ilvl w:val="0"/>
                <w:numId w:val="2"/>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Client to Business (P2B) transfers, e.g. in-store purchases</w:t>
            </w:r>
          </w:p>
          <w:p w:rsidR="00000000" w:rsidDel="00000000" w:rsidP="00000000" w:rsidRDefault="00000000" w:rsidRPr="00000000" w14:paraId="00000011">
            <w:pPr>
              <w:numPr>
                <w:ilvl w:val="0"/>
                <w:numId w:val="2"/>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Salary transfers, from employer to employees</w:t>
            </w:r>
          </w:p>
          <w:p w:rsidR="00000000" w:rsidDel="00000000" w:rsidP="00000000" w:rsidRDefault="00000000" w:rsidRPr="00000000" w14:paraId="00000012">
            <w:pPr>
              <w:numPr>
                <w:ilvl w:val="0"/>
                <w:numId w:val="2"/>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Government to Person (G2P) transfers</w:t>
            </w:r>
            <w:r w:rsidDel="00000000" w:rsidR="00000000" w:rsidRPr="00000000">
              <w:rPr>
                <w:rtl w:val="0"/>
              </w:rPr>
            </w:r>
          </w:p>
          <w:p w:rsidR="00000000" w:rsidDel="00000000" w:rsidP="00000000" w:rsidRDefault="00000000" w:rsidRPr="00000000" w14:paraId="00000013">
            <w:pPr>
              <w:numPr>
                <w:ilvl w:val="0"/>
                <w:numId w:val="2"/>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Bank / IBAN transfers, including cross-border</w:t>
            </w:r>
          </w:p>
          <w:p w:rsidR="00000000" w:rsidDel="00000000" w:rsidP="00000000" w:rsidRDefault="00000000" w:rsidRPr="00000000" w14:paraId="00000014">
            <w:pPr>
              <w:numPr>
                <w:ilvl w:val="0"/>
                <w:numId w:val="2"/>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Savings wallets or products</w:t>
            </w:r>
          </w:p>
          <w:p w:rsidR="00000000" w:rsidDel="00000000" w:rsidP="00000000" w:rsidRDefault="00000000" w:rsidRPr="00000000" w14:paraId="00000015">
            <w:pPr>
              <w:spacing w:line="259" w:lineRule="auto"/>
              <w:ind w:left="19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59" w:lineRule="auto"/>
              <w:ind w:left="1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each product or service on offer, please indicate:</w:t>
            </w:r>
          </w:p>
          <w:p w:rsidR="00000000" w:rsidDel="00000000" w:rsidP="00000000" w:rsidRDefault="00000000" w:rsidRPr="00000000" w14:paraId="00000017">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support </w:t>
            </w:r>
            <w:r w:rsidDel="00000000" w:rsidR="00000000" w:rsidRPr="00000000">
              <w:rPr>
                <w:rFonts w:ascii="Times New Roman" w:cs="Times New Roman" w:eastAsia="Times New Roman" w:hAnsi="Times New Roman"/>
                <w:b w:val="1"/>
                <w:rtl w:val="0"/>
              </w:rPr>
              <w:t xml:space="preserve">bulk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transfers</w:t>
            </w:r>
            <w:r w:rsidDel="00000000" w:rsidR="00000000" w:rsidRPr="00000000">
              <w:rPr>
                <w:rFonts w:ascii="Times New Roman" w:cs="Times New Roman" w:eastAsia="Times New Roman" w:hAnsi="Times New Roman"/>
                <w:rtl w:val="0"/>
              </w:rPr>
              <w:t xml:space="preserve">, meaning one (1) Primary Account sending to ## individual accounts</w:t>
            </w:r>
          </w:p>
          <w:p w:rsidR="00000000" w:rsidDel="00000000" w:rsidP="00000000" w:rsidRDefault="00000000" w:rsidRPr="00000000" w14:paraId="00000018">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Account enrolment process</w:t>
            </w:r>
            <w:r w:rsidDel="00000000" w:rsidR="00000000" w:rsidRPr="00000000">
              <w:rPr>
                <w:rFonts w:ascii="Times New Roman" w:cs="Times New Roman" w:eastAsia="Times New Roman" w:hAnsi="Times New Roman"/>
                <w:rtl w:val="0"/>
              </w:rPr>
              <w:t xml:space="preserve"> (per individual): what is the client experience / journey to open an individual account to receive recurring transfers?</w:t>
            </w:r>
          </w:p>
          <w:p w:rsidR="00000000" w:rsidDel="00000000" w:rsidP="00000000" w:rsidRDefault="00000000" w:rsidRPr="00000000" w14:paraId="00000019">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Verification of Transfer Receipt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numPr>
                <w:ilvl w:val="1"/>
                <w:numId w:val="1"/>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Primary client confirms receipt of each transfer (to individuals) when sent in bulk</w:t>
            </w:r>
          </w:p>
          <w:p w:rsidR="00000000" w:rsidDel="00000000" w:rsidP="00000000" w:rsidRDefault="00000000" w:rsidRPr="00000000" w14:paraId="0000001B">
            <w:pPr>
              <w:numPr>
                <w:ilvl w:val="1"/>
                <w:numId w:val="1"/>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individual account holder / transfer recipient is notified of transfer</w:t>
            </w:r>
          </w:p>
          <w:p w:rsidR="00000000" w:rsidDel="00000000" w:rsidP="00000000" w:rsidRDefault="00000000" w:rsidRPr="00000000" w14:paraId="0000001C">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Cross-border transfers, incl. currency available </w:t>
            </w:r>
            <w:r w:rsidDel="00000000" w:rsidR="00000000" w:rsidRPr="00000000">
              <w:rPr>
                <w:rFonts w:ascii="Times New Roman" w:cs="Times New Roman" w:eastAsia="Times New Roman" w:hAnsi="Times New Roman"/>
                <w:rtl w:val="0"/>
              </w:rPr>
              <w:t xml:space="preserve">(USD, LBP)</w:t>
            </w:r>
          </w:p>
          <w:p w:rsidR="00000000" w:rsidDel="00000000" w:rsidP="00000000" w:rsidRDefault="00000000" w:rsidRPr="00000000" w14:paraId="0000001D">
            <w:pPr>
              <w:spacing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Mobile-based services or options</w:t>
            </w:r>
            <w:r w:rsidDel="00000000" w:rsidR="00000000" w:rsidRPr="00000000">
              <w:rPr>
                <w:rFonts w:ascii="Times New Roman" w:cs="Times New Roman" w:eastAsia="Times New Roman" w:hAnsi="Times New Roman"/>
                <w:rtl w:val="0"/>
              </w:rPr>
              <w:t xml:space="preserve"> for transfer recipients / clients, including SMS, messenger apps (e.g. Whatsapp), native wallets / transfer apps</w:t>
            </w:r>
            <w:r w:rsidDel="00000000" w:rsidR="00000000" w:rsidRPr="00000000">
              <w:rPr>
                <w:rtl w:val="0"/>
              </w:rPr>
            </w:r>
          </w:p>
          <w:p w:rsidR="00000000" w:rsidDel="00000000" w:rsidP="00000000" w:rsidRDefault="00000000" w:rsidRPr="00000000" w14:paraId="0000001E">
            <w:pPr>
              <w:spacing w:line="259" w:lineRule="auto"/>
              <w:ind w:left="720" w:firstLine="0"/>
              <w:rPr>
                <w:rFonts w:ascii="Times New Roman" w:cs="Times New Roman" w:eastAsia="Times New Roman" w:hAnsi="Times New Roman"/>
              </w:rPr>
            </w:pPr>
            <w:r w:rsidDel="00000000" w:rsidR="00000000" w:rsidRPr="00000000">
              <w:rPr>
                <w:rtl w:val="0"/>
              </w:rPr>
            </w:r>
          </w:p>
        </w:tc>
      </w:tr>
      <w:tr>
        <w:trPr>
          <w:cantSplit w:val="0"/>
          <w:trHeight w:val="1560.0299072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before="2" w:line="240" w:lineRule="auto"/>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 Your Client (KYC)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0">
            <w:pPr>
              <w:spacing w:line="259" w:lineRule="auto"/>
              <w:ind w:left="1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detail all KYC requirements, including acceptable documentation and method(s) of verification (i.e. in person, online submission, etc.)</w:t>
            </w:r>
          </w:p>
          <w:p w:rsidR="00000000" w:rsidDel="00000000" w:rsidP="00000000" w:rsidRDefault="00000000" w:rsidRPr="00000000" w14:paraId="00000021">
            <w:pPr>
              <w:spacing w:line="259" w:lineRule="auto"/>
              <w:ind w:left="19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3"/>
              </w:numPr>
              <w:spacing w:line="259" w:lineRule="auto"/>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is your experience with clients who may not have government-issued ID?</w:t>
            </w:r>
          </w:p>
        </w:tc>
      </w:tr>
      <w:tr>
        <w:trPr>
          <w:cantSplit w:val="0"/>
          <w:trHeight w:val="4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before="2" w:line="240" w:lineRule="auto"/>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Services &amp; Regulations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spacing w:line="259" w:lineRule="auto"/>
              <w:ind w:left="1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detail your general services, including any regulations or restrictions. If these are distinct per product listed above, please indicate as such:</w:t>
            </w:r>
          </w:p>
          <w:p w:rsidR="00000000" w:rsidDel="00000000" w:rsidP="00000000" w:rsidRDefault="00000000" w:rsidRPr="00000000" w14:paraId="00000025">
            <w:pPr>
              <w:spacing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Transfer limits</w:t>
            </w:r>
            <w:r w:rsidDel="00000000" w:rsidR="00000000" w:rsidRPr="00000000">
              <w:rPr>
                <w:rFonts w:ascii="Times New Roman" w:cs="Times New Roman" w:eastAsia="Times New Roman" w:hAnsi="Times New Roman"/>
                <w:rtl w:val="0"/>
              </w:rPr>
              <w:t xml:space="preserve">: is there a limit for the number and amount of transfers per day?</w:t>
            </w:r>
          </w:p>
          <w:p w:rsidR="00000000" w:rsidDel="00000000" w:rsidP="00000000" w:rsidRDefault="00000000" w:rsidRPr="00000000" w14:paraId="00000027">
            <w:pPr>
              <w:numPr>
                <w:ilvl w:val="1"/>
                <w:numId w:val="1"/>
              </w:numPr>
              <w:spacing w:line="259" w:lineRule="auto"/>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If able, include any details on </w:t>
            </w:r>
            <w:r w:rsidDel="00000000" w:rsidR="00000000" w:rsidRPr="00000000">
              <w:rPr>
                <w:rFonts w:ascii="Times New Roman" w:cs="Times New Roman" w:eastAsia="Times New Roman" w:hAnsi="Times New Roman"/>
                <w:b w:val="1"/>
                <w:i w:val="1"/>
                <w:rtl w:val="0"/>
              </w:rPr>
              <w:t xml:space="preserve">liquidity management</w:t>
            </w:r>
          </w:p>
          <w:p w:rsidR="00000000" w:rsidDel="00000000" w:rsidP="00000000" w:rsidRDefault="00000000" w:rsidRPr="00000000" w14:paraId="00000028">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agents or branches</w:t>
            </w:r>
            <w:r w:rsidDel="00000000" w:rsidR="00000000" w:rsidRPr="00000000">
              <w:rPr>
                <w:rFonts w:ascii="Times New Roman" w:cs="Times New Roman" w:eastAsia="Times New Roman" w:hAnsi="Times New Roman"/>
                <w:rtl w:val="0"/>
              </w:rPr>
              <w:t xml:space="preserve"> across Lebanon and geographic spread (Governorate,District,Casa)</w:t>
            </w:r>
            <w:r w:rsidDel="00000000" w:rsidR="00000000" w:rsidRPr="00000000">
              <w:rPr>
                <w:rtl w:val="0"/>
              </w:rPr>
            </w:r>
          </w:p>
          <w:p w:rsidR="00000000" w:rsidDel="00000000" w:rsidP="00000000" w:rsidRDefault="00000000" w:rsidRPr="00000000" w14:paraId="00000029">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Account / Transfer Monitoring: </w:t>
            </w:r>
            <w:r w:rsidDel="00000000" w:rsidR="00000000" w:rsidRPr="00000000">
              <w:rPr>
                <w:rFonts w:ascii="Times New Roman" w:cs="Times New Roman" w:eastAsia="Times New Roman" w:hAnsi="Times New Roman"/>
                <w:rtl w:val="0"/>
              </w:rPr>
              <w:t xml:space="preserve">what is</w:t>
            </w:r>
            <w:r w:rsidDel="00000000" w:rsidR="00000000" w:rsidRPr="00000000">
              <w:rPr>
                <w:rFonts w:ascii="Times New Roman" w:cs="Times New Roman" w:eastAsia="Times New Roman" w:hAnsi="Times New Roman"/>
                <w:rtl w:val="0"/>
              </w:rPr>
              <w:t xml:space="preserve"> available for Primary Clients to monitor transfer status per individual and/or transfer product (e.g. online account portal)</w:t>
            </w:r>
            <w:r w:rsidDel="00000000" w:rsidR="00000000" w:rsidRPr="00000000">
              <w:rPr>
                <w:rtl w:val="0"/>
              </w:rPr>
            </w:r>
          </w:p>
          <w:p w:rsidR="00000000" w:rsidDel="00000000" w:rsidP="00000000" w:rsidRDefault="00000000" w:rsidRPr="00000000" w14:paraId="0000002A">
            <w:pPr>
              <w:numPr>
                <w:ilvl w:val="0"/>
                <w:numId w:val="1"/>
              </w:numPr>
              <w:spacing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protection policies</w:t>
            </w:r>
            <w:r w:rsidDel="00000000" w:rsidR="00000000" w:rsidRPr="00000000">
              <w:rPr>
                <w:rFonts w:ascii="Times New Roman" w:cs="Times New Roman" w:eastAsia="Times New Roman" w:hAnsi="Times New Roman"/>
                <w:rtl w:val="0"/>
              </w:rPr>
              <w:t xml:space="preserve">: do you have a standing policy?</w:t>
            </w:r>
          </w:p>
        </w:tc>
      </w:tr>
    </w:tbl>
    <w:p w:rsidR="00000000" w:rsidDel="00000000" w:rsidP="00000000" w:rsidRDefault="00000000" w:rsidRPr="00000000" w14:paraId="0000002B">
      <w:pPr>
        <w:pBdr>
          <w:bottom w:color="000000" w:space="1" w:sz="12" w:val="single"/>
        </w:pBdr>
        <w:spacing w:line="32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