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574F" w14:textId="2C3AEA8C" w:rsidR="00F133D9" w:rsidRDefault="00F133D9" w:rsidP="00F133D9">
      <w:pPr>
        <w:pStyle w:val="Heading1"/>
        <w:jc w:val="center"/>
        <w:rPr>
          <w:sz w:val="36"/>
          <w:szCs w:val="36"/>
        </w:rPr>
      </w:pPr>
      <w:r>
        <w:rPr>
          <w:noProof/>
          <w:sz w:val="36"/>
          <w:szCs w:val="36"/>
        </w:rPr>
        <w:drawing>
          <wp:anchor distT="0" distB="0" distL="114300" distR="114300" simplePos="0" relativeHeight="251658240" behindDoc="1" locked="0" layoutInCell="1" allowOverlap="1" wp14:anchorId="0FE302A8" wp14:editId="1E3F7FF7">
            <wp:simplePos x="0" y="0"/>
            <wp:positionH relativeFrom="column">
              <wp:posOffset>-510540</wp:posOffset>
            </wp:positionH>
            <wp:positionV relativeFrom="paragraph">
              <wp:posOffset>0</wp:posOffset>
            </wp:positionV>
            <wp:extent cx="2080260" cy="859155"/>
            <wp:effectExtent l="0" t="0" r="0" b="0"/>
            <wp:wrapThrough wrapText="bothSides">
              <wp:wrapPolygon edited="0">
                <wp:start x="0" y="0"/>
                <wp:lineTo x="0" y="21073"/>
                <wp:lineTo x="21363" y="21073"/>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98AD" w14:textId="77777777" w:rsidR="00F133D9" w:rsidRDefault="00F133D9" w:rsidP="00F133D9">
      <w:pPr>
        <w:pStyle w:val="Heading1"/>
        <w:jc w:val="center"/>
        <w:rPr>
          <w:sz w:val="36"/>
          <w:szCs w:val="36"/>
        </w:rPr>
      </w:pPr>
    </w:p>
    <w:p w14:paraId="5C388DD1" w14:textId="051CD80A" w:rsidR="00C60857" w:rsidRPr="00F133D9" w:rsidRDefault="00DB6CA8" w:rsidP="00F133D9">
      <w:pPr>
        <w:pStyle w:val="Heading1"/>
        <w:jc w:val="center"/>
        <w:rPr>
          <w:sz w:val="36"/>
          <w:szCs w:val="36"/>
        </w:rPr>
      </w:pPr>
      <w:r w:rsidRPr="00F133D9">
        <w:rPr>
          <w:sz w:val="36"/>
          <w:szCs w:val="36"/>
        </w:rPr>
        <w:t>Invitation for Tender Bid</w:t>
      </w:r>
    </w:p>
    <w:p w14:paraId="00A5612C" w14:textId="064AACB0" w:rsidR="00C60857" w:rsidRDefault="00DB6CA8">
      <w:pPr>
        <w:pStyle w:val="Heading2"/>
      </w:pPr>
      <w:proofErr w:type="spellStart"/>
      <w:r>
        <w:t>Organisation</w:t>
      </w:r>
      <w:proofErr w:type="spellEnd"/>
    </w:p>
    <w:p w14:paraId="638D8B15" w14:textId="77777777" w:rsidR="00C60857" w:rsidRDefault="00DB6CA8">
      <w:r>
        <w:t>Tankamel Sawa</w:t>
      </w:r>
    </w:p>
    <w:p w14:paraId="481D8403" w14:textId="77777777" w:rsidR="00C60857" w:rsidRDefault="00DB6CA8">
      <w:pPr>
        <w:pStyle w:val="Heading2"/>
      </w:pPr>
      <w:r>
        <w:t>Location</w:t>
      </w:r>
    </w:p>
    <w:p w14:paraId="2F5E5529" w14:textId="77777777" w:rsidR="00C60857" w:rsidRDefault="00DB6CA8">
      <w:r>
        <w:t>Tripoli – North Lebanon</w:t>
      </w:r>
    </w:p>
    <w:p w14:paraId="50F5D937" w14:textId="77777777" w:rsidR="00C60857" w:rsidRDefault="00DB6CA8">
      <w:pPr>
        <w:pStyle w:val="Heading2"/>
      </w:pPr>
      <w:r>
        <w:t>Starting Date</w:t>
      </w:r>
    </w:p>
    <w:p w14:paraId="029AEC39" w14:textId="0E7DC139" w:rsidR="00C60857" w:rsidRDefault="00717095">
      <w:r>
        <w:t xml:space="preserve">June 2024 </w:t>
      </w:r>
    </w:p>
    <w:p w14:paraId="0C650700" w14:textId="77777777" w:rsidR="00C60857" w:rsidRDefault="00DB6CA8">
      <w:pPr>
        <w:pStyle w:val="Heading2"/>
      </w:pPr>
      <w:r>
        <w:t>Duration</w:t>
      </w:r>
    </w:p>
    <w:p w14:paraId="1ACA38A3" w14:textId="77777777" w:rsidR="00C60857" w:rsidRDefault="00DB6CA8">
      <w:r>
        <w:t>1 year</w:t>
      </w:r>
    </w:p>
    <w:p w14:paraId="5AEB8112" w14:textId="77777777" w:rsidR="00C60857" w:rsidRDefault="00DB6CA8">
      <w:pPr>
        <w:pStyle w:val="Heading1"/>
      </w:pPr>
      <w:r>
        <w:t>Contents of ToR – Annex 2</w:t>
      </w:r>
    </w:p>
    <w:p w14:paraId="17C38584" w14:textId="77777777" w:rsidR="00C60857" w:rsidRDefault="00DB6CA8">
      <w:pPr>
        <w:pStyle w:val="Heading2"/>
      </w:pPr>
      <w:r>
        <w:t>1. Introduction: Tankamel Sawa</w:t>
      </w:r>
    </w:p>
    <w:p w14:paraId="42E5DF63" w14:textId="77777777" w:rsidR="00C60857" w:rsidRDefault="00DB6CA8">
      <w:r>
        <w:t>Tankamel Sawa is a Lebanese non-governmental humanitarian organization, politically independent and undenominational. We aim and act to support communities and individuals who find themselves in situations of difficulty and need, mobilizing resources in the best way in order to ensure efficient and sustainable solutions.</w:t>
      </w:r>
    </w:p>
    <w:p w14:paraId="07B7A8EB" w14:textId="77777777" w:rsidR="00C60857" w:rsidRDefault="00DB6CA8">
      <w:pPr>
        <w:pStyle w:val="Heading2"/>
      </w:pPr>
      <w:r>
        <w:t>2. Context</w:t>
      </w:r>
    </w:p>
    <w:p w14:paraId="2BD7EB95" w14:textId="096A55B7" w:rsidR="00C60857" w:rsidRDefault="00DB6CA8">
      <w:r>
        <w:t>As NSSF does not provide 100% medical coverage, and to make sure that our employees are hospitalized in case of any injury or any other kind of sickness (during and outside working hours), we are requesting to sign an insurance contract to cover the medical and workmen compensation for the employees.</w:t>
      </w:r>
    </w:p>
    <w:p w14:paraId="4F671530" w14:textId="3BCC5490" w:rsidR="00717095" w:rsidRDefault="00717095">
      <w:r>
        <w:rPr>
          <w:b/>
          <w:bCs/>
        </w:rPr>
        <w:t>The current number of employees at the mission is 4 employees. Kindly note that this number may vary, hence we would apricate if you can give offer for the min 3 employees and maximum 7. If this is not possible kindly provide offer for the 3 employees in annex 4.</w:t>
      </w:r>
    </w:p>
    <w:p w14:paraId="15756D0D" w14:textId="77777777" w:rsidR="00C60857" w:rsidRDefault="00DB6CA8">
      <w:pPr>
        <w:pStyle w:val="Heading2"/>
      </w:pPr>
      <w:r>
        <w:lastRenderedPageBreak/>
        <w:t>3. Objectives</w:t>
      </w:r>
    </w:p>
    <w:p w14:paraId="54E54EDC" w14:textId="77777777" w:rsidR="00C60857" w:rsidRDefault="00DB6CA8">
      <w:r>
        <w:t>The main objective of this contractual commitment with an insurance company is to cover Tankamel Sawa staff members with Medical and Workmen Compensation insurance.</w:t>
      </w:r>
    </w:p>
    <w:p w14:paraId="686A196C" w14:textId="495E2C03" w:rsidR="00717095" w:rsidRPr="00717095" w:rsidRDefault="00DB6CA8" w:rsidP="00717095">
      <w:pPr>
        <w:pStyle w:val="Heading2"/>
      </w:pPr>
      <w:r>
        <w:t>4. Expected Offer</w:t>
      </w:r>
    </w:p>
    <w:p w14:paraId="08B73DBF" w14:textId="3D13ECAB" w:rsidR="00717095" w:rsidRPr="00717095" w:rsidRDefault="00717095" w:rsidP="00717095">
      <w:r>
        <w:t>Kindly send us the detailed list of your coverages and services for class A and class B. Note that the organization might adopt class B with an option to upgrade to class A (with the additional cost paid by the employee in the case of upgrading to class A).</w:t>
      </w:r>
    </w:p>
    <w:p w14:paraId="6B054610" w14:textId="77777777" w:rsidR="00C60857" w:rsidRDefault="00DB6CA8">
      <w:pPr>
        <w:pStyle w:val="Heading3"/>
      </w:pPr>
      <w:r>
        <w:t>4.1 Medical Insurance</w:t>
      </w:r>
    </w:p>
    <w:p w14:paraId="5B442074" w14:textId="77777777" w:rsidR="00717095" w:rsidRPr="00717095" w:rsidRDefault="00DB6CA8">
      <w:pPr>
        <w:rPr>
          <w:b/>
          <w:bCs/>
        </w:rPr>
      </w:pPr>
      <w:r w:rsidRPr="00717095">
        <w:rPr>
          <w:b/>
          <w:bCs/>
        </w:rPr>
        <w:t>Option A:</w:t>
      </w:r>
    </w:p>
    <w:p w14:paraId="45CA5D31" w14:textId="77DE00CD" w:rsidR="00717095" w:rsidRDefault="00DB6CA8" w:rsidP="00717095">
      <w:pPr>
        <w:pStyle w:val="ListParagraph"/>
        <w:numPr>
          <w:ilvl w:val="0"/>
          <w:numId w:val="11"/>
        </w:numPr>
      </w:pPr>
      <w:r>
        <w:t xml:space="preserve">In/out hospitalization </w:t>
      </w:r>
    </w:p>
    <w:p w14:paraId="70B5ACEB" w14:textId="77777777" w:rsidR="00717095" w:rsidRDefault="00DB6CA8" w:rsidP="00717095">
      <w:pPr>
        <w:pStyle w:val="ListParagraph"/>
        <w:numPr>
          <w:ilvl w:val="0"/>
          <w:numId w:val="11"/>
        </w:numPr>
      </w:pPr>
      <w:r>
        <w:t xml:space="preserve">Lab and imagery tests </w:t>
      </w:r>
    </w:p>
    <w:p w14:paraId="2F3F5A42" w14:textId="77777777" w:rsidR="00717095" w:rsidRDefault="00DB6CA8" w:rsidP="00717095">
      <w:pPr>
        <w:pStyle w:val="ListParagraph"/>
        <w:numPr>
          <w:ilvl w:val="0"/>
          <w:numId w:val="11"/>
        </w:numPr>
      </w:pPr>
      <w:r>
        <w:t>Maternity Coverage</w:t>
      </w:r>
    </w:p>
    <w:p w14:paraId="71EB58D7" w14:textId="5DFCD2CE" w:rsidR="00717095" w:rsidRDefault="00DB6CA8" w:rsidP="00717095">
      <w:pPr>
        <w:pStyle w:val="ListParagraph"/>
        <w:numPr>
          <w:ilvl w:val="0"/>
          <w:numId w:val="11"/>
        </w:numPr>
      </w:pPr>
      <w:r>
        <w:t>Doctor visits</w:t>
      </w:r>
      <w:r w:rsidR="00717095">
        <w:t xml:space="preserve"> </w:t>
      </w:r>
    </w:p>
    <w:p w14:paraId="29EB9BD9" w14:textId="77777777" w:rsidR="00717095" w:rsidRDefault="00DB6CA8" w:rsidP="00717095">
      <w:pPr>
        <w:pStyle w:val="ListParagraph"/>
        <w:numPr>
          <w:ilvl w:val="0"/>
          <w:numId w:val="11"/>
        </w:numPr>
      </w:pPr>
      <w:r>
        <w:t>Drug Prescriptions</w:t>
      </w:r>
      <w:r w:rsidR="00717095">
        <w:t xml:space="preserve"> </w:t>
      </w:r>
    </w:p>
    <w:p w14:paraId="445DCA20" w14:textId="34748040" w:rsidR="00C60857" w:rsidRDefault="00DB6CA8" w:rsidP="00717095">
      <w:pPr>
        <w:pStyle w:val="ListParagraph"/>
        <w:numPr>
          <w:ilvl w:val="0"/>
          <w:numId w:val="11"/>
        </w:numPr>
      </w:pPr>
      <w:r>
        <w:t>Dental Insurance.</w:t>
      </w:r>
    </w:p>
    <w:p w14:paraId="4B20B1A6" w14:textId="336A31BB" w:rsidR="00717095" w:rsidRPr="00717095" w:rsidRDefault="00717095" w:rsidP="00717095">
      <w:pPr>
        <w:rPr>
          <w:b/>
          <w:bCs/>
        </w:rPr>
      </w:pPr>
      <w:r w:rsidRPr="00717095">
        <w:rPr>
          <w:b/>
          <w:bCs/>
        </w:rPr>
        <w:t>Option B:</w:t>
      </w:r>
    </w:p>
    <w:p w14:paraId="404BFA08" w14:textId="32F83BD5" w:rsidR="00717095" w:rsidRPr="00717095" w:rsidRDefault="00717095" w:rsidP="00717095">
      <w:pPr>
        <w:pStyle w:val="ListParagraph"/>
        <w:numPr>
          <w:ilvl w:val="0"/>
          <w:numId w:val="10"/>
        </w:numPr>
      </w:pPr>
      <w:r w:rsidRPr="00717095">
        <w:t xml:space="preserve">In/out hospitalization </w:t>
      </w:r>
    </w:p>
    <w:p w14:paraId="3DC3DEBF" w14:textId="77777777" w:rsidR="00717095" w:rsidRPr="00717095" w:rsidRDefault="00717095" w:rsidP="00717095">
      <w:pPr>
        <w:pStyle w:val="ListParagraph"/>
        <w:numPr>
          <w:ilvl w:val="0"/>
          <w:numId w:val="10"/>
        </w:numPr>
      </w:pPr>
      <w:r w:rsidRPr="00717095">
        <w:t xml:space="preserve">Lab and imagery tests </w:t>
      </w:r>
    </w:p>
    <w:p w14:paraId="1E451710" w14:textId="77777777" w:rsidR="00717095" w:rsidRPr="00717095" w:rsidRDefault="00717095" w:rsidP="00717095">
      <w:pPr>
        <w:pStyle w:val="ListParagraph"/>
        <w:numPr>
          <w:ilvl w:val="0"/>
          <w:numId w:val="10"/>
        </w:numPr>
      </w:pPr>
      <w:r w:rsidRPr="00717095">
        <w:t>Maternity Coverage</w:t>
      </w:r>
    </w:p>
    <w:p w14:paraId="5B9273D6" w14:textId="4A7F8343" w:rsidR="00717095" w:rsidRPr="00717095" w:rsidRDefault="00717095" w:rsidP="00717095">
      <w:pPr>
        <w:pStyle w:val="ListParagraph"/>
        <w:numPr>
          <w:ilvl w:val="0"/>
          <w:numId w:val="10"/>
        </w:numPr>
      </w:pPr>
      <w:r w:rsidRPr="00717095">
        <w:t xml:space="preserve">Doctor visits </w:t>
      </w:r>
    </w:p>
    <w:p w14:paraId="7468DD74" w14:textId="0C02A7AE" w:rsidR="00717095" w:rsidRDefault="00717095" w:rsidP="00717095">
      <w:pPr>
        <w:pStyle w:val="ListParagraph"/>
        <w:numPr>
          <w:ilvl w:val="0"/>
          <w:numId w:val="10"/>
        </w:numPr>
      </w:pPr>
      <w:r w:rsidRPr="00717095">
        <w:t xml:space="preserve">Drug Prescriptions </w:t>
      </w:r>
    </w:p>
    <w:p w14:paraId="5D200045" w14:textId="77777777" w:rsidR="00C60857" w:rsidRDefault="00DB6CA8">
      <w:pPr>
        <w:pStyle w:val="Heading3"/>
      </w:pPr>
      <w:r>
        <w:t>4.2 Workmen Compensation</w:t>
      </w:r>
    </w:p>
    <w:p w14:paraId="2FB73E52" w14:textId="77777777" w:rsidR="00C60857" w:rsidRDefault="00DB6CA8">
      <w:r>
        <w:t>Details regarding workmen compensation insurance.</w:t>
      </w:r>
    </w:p>
    <w:p w14:paraId="23DE8ECE" w14:textId="77777777" w:rsidR="00C60857" w:rsidRDefault="00DB6CA8">
      <w:pPr>
        <w:pStyle w:val="Heading3"/>
      </w:pPr>
      <w:r>
        <w:t>4.3 Other</w:t>
      </w:r>
    </w:p>
    <w:p w14:paraId="388241C5" w14:textId="77777777" w:rsidR="00717095" w:rsidRDefault="00DB6CA8" w:rsidP="00717095">
      <w:pPr>
        <w:pStyle w:val="ListParagraph"/>
        <w:numPr>
          <w:ilvl w:val="0"/>
          <w:numId w:val="12"/>
        </w:numPr>
      </w:pPr>
      <w:r>
        <w:t xml:space="preserve">Flexibility of coverage in terms of the current change of NSSF procedures and the medical situation in the country. </w:t>
      </w:r>
    </w:p>
    <w:p w14:paraId="4B0DD141" w14:textId="77777777" w:rsidR="00717095" w:rsidRDefault="00DB6CA8" w:rsidP="00717095">
      <w:pPr>
        <w:pStyle w:val="ListParagraph"/>
        <w:numPr>
          <w:ilvl w:val="0"/>
          <w:numId w:val="12"/>
        </w:numPr>
      </w:pPr>
      <w:r>
        <w:t>Fast circulation of new regulations.</w:t>
      </w:r>
    </w:p>
    <w:p w14:paraId="5DD49CF3" w14:textId="3112FC85" w:rsidR="00717095" w:rsidRDefault="00DB6CA8" w:rsidP="00717095">
      <w:pPr>
        <w:pStyle w:val="ListParagraph"/>
        <w:numPr>
          <w:ilvl w:val="0"/>
          <w:numId w:val="12"/>
        </w:numPr>
      </w:pPr>
      <w:r>
        <w:t xml:space="preserve">Responsive phone support. </w:t>
      </w:r>
    </w:p>
    <w:p w14:paraId="2C194576" w14:textId="4095EEEB" w:rsidR="00C60857" w:rsidRDefault="00DB6CA8" w:rsidP="00717095">
      <w:pPr>
        <w:pStyle w:val="ListParagraph"/>
        <w:numPr>
          <w:ilvl w:val="0"/>
          <w:numId w:val="12"/>
        </w:numPr>
      </w:pPr>
      <w:r>
        <w:t>Responsive email and online support.</w:t>
      </w:r>
    </w:p>
    <w:p w14:paraId="6E249904" w14:textId="77777777" w:rsidR="00717095" w:rsidRPr="00717095" w:rsidRDefault="00717095" w:rsidP="00717095">
      <w:pPr>
        <w:pStyle w:val="Heading2"/>
      </w:pPr>
      <w:r w:rsidRPr="00717095">
        <w:t xml:space="preserve">6. Guidelines </w:t>
      </w:r>
    </w:p>
    <w:p w14:paraId="0D0F24EB" w14:textId="77777777" w:rsidR="00717095" w:rsidRPr="00717095" w:rsidRDefault="00717095" w:rsidP="00717095">
      <w:pPr>
        <w:pStyle w:val="Heading3"/>
      </w:pPr>
      <w:r w:rsidRPr="00717095">
        <w:t xml:space="preserve">6.1 Application Instructions </w:t>
      </w:r>
    </w:p>
    <w:p w14:paraId="3B906411" w14:textId="77279299" w:rsidR="00717095" w:rsidRDefault="00717095" w:rsidP="00717095">
      <w:pPr>
        <w:pStyle w:val="Default"/>
        <w:rPr>
          <w:sz w:val="22"/>
          <w:szCs w:val="22"/>
        </w:rPr>
      </w:pPr>
      <w:r>
        <w:rPr>
          <w:sz w:val="22"/>
          <w:szCs w:val="22"/>
        </w:rPr>
        <w:t xml:space="preserve">In order to be eligible for application, you should follow the details in </w:t>
      </w:r>
      <w:r w:rsidRPr="00C33367">
        <w:rPr>
          <w:b/>
          <w:bCs/>
          <w:sz w:val="22"/>
          <w:szCs w:val="22"/>
        </w:rPr>
        <w:t>RFQ 09-24</w:t>
      </w:r>
      <w:r>
        <w:rPr>
          <w:sz w:val="22"/>
          <w:szCs w:val="22"/>
        </w:rPr>
        <w:t xml:space="preserve"> document and fill and stamp the needed below Annexes: </w:t>
      </w:r>
      <w:bookmarkStart w:id="0" w:name="_GoBack"/>
      <w:bookmarkEnd w:id="0"/>
    </w:p>
    <w:p w14:paraId="6FDF318E" w14:textId="77777777" w:rsidR="00717095" w:rsidRDefault="00717095" w:rsidP="00717095">
      <w:pPr>
        <w:pStyle w:val="Default"/>
        <w:rPr>
          <w:sz w:val="22"/>
          <w:szCs w:val="22"/>
        </w:rPr>
      </w:pPr>
    </w:p>
    <w:p w14:paraId="34B6A936" w14:textId="7B3EC4B2" w:rsidR="00717095" w:rsidRPr="004871DC" w:rsidRDefault="00717095" w:rsidP="00C33367">
      <w:pPr>
        <w:pStyle w:val="Default"/>
        <w:spacing w:after="78"/>
        <w:rPr>
          <w:b/>
          <w:bCs/>
        </w:rPr>
      </w:pPr>
      <w:r w:rsidRPr="004871DC">
        <w:rPr>
          <w:b/>
          <w:bCs/>
        </w:rPr>
        <w:t>• Annex 1: Terms of Reference “</w:t>
      </w:r>
      <w:proofErr w:type="spellStart"/>
      <w:r w:rsidRPr="004871DC">
        <w:rPr>
          <w:b/>
          <w:bCs/>
        </w:rPr>
        <w:t>ToR</w:t>
      </w:r>
      <w:proofErr w:type="spellEnd"/>
      <w:r w:rsidRPr="004871DC">
        <w:rPr>
          <w:b/>
          <w:bCs/>
        </w:rPr>
        <w:t xml:space="preserve">”, signed and stamped. </w:t>
      </w:r>
    </w:p>
    <w:p w14:paraId="5E86412D" w14:textId="6B5A6578" w:rsidR="00717095" w:rsidRPr="004871DC" w:rsidRDefault="00717095" w:rsidP="00717095">
      <w:pPr>
        <w:pStyle w:val="Default"/>
        <w:spacing w:after="78"/>
        <w:rPr>
          <w:b/>
          <w:bCs/>
        </w:rPr>
      </w:pPr>
      <w:r w:rsidRPr="004871DC">
        <w:rPr>
          <w:b/>
          <w:bCs/>
        </w:rPr>
        <w:t xml:space="preserve">• Annex 2: Monthly insurance cost, filled and signed and stamped. </w:t>
      </w:r>
    </w:p>
    <w:p w14:paraId="6DC7440F" w14:textId="2CAA0369" w:rsidR="004871DC" w:rsidRDefault="00717095" w:rsidP="004871DC">
      <w:pPr>
        <w:pStyle w:val="Default"/>
        <w:spacing w:after="78"/>
        <w:rPr>
          <w:b/>
          <w:bCs/>
        </w:rPr>
      </w:pPr>
      <w:r w:rsidRPr="004871DC">
        <w:rPr>
          <w:b/>
          <w:bCs/>
        </w:rPr>
        <w:lastRenderedPageBreak/>
        <w:t xml:space="preserve">• Annex 3: Bid submission letter </w:t>
      </w:r>
    </w:p>
    <w:p w14:paraId="45BA1CCB" w14:textId="3ACA7A4E" w:rsidR="00C33367" w:rsidRDefault="00C33367" w:rsidP="00C33367">
      <w:pPr>
        <w:pStyle w:val="Default"/>
        <w:rPr>
          <w:b/>
          <w:bCs/>
        </w:rPr>
      </w:pPr>
      <w:r w:rsidRPr="00C33367">
        <w:rPr>
          <w:b/>
          <w:bCs/>
        </w:rPr>
        <w:t xml:space="preserve">• Annex </w:t>
      </w:r>
      <w:r>
        <w:rPr>
          <w:b/>
          <w:bCs/>
        </w:rPr>
        <w:t>4</w:t>
      </w:r>
      <w:r w:rsidRPr="00C33367">
        <w:rPr>
          <w:b/>
          <w:bCs/>
        </w:rPr>
        <w:t xml:space="preserve">: </w:t>
      </w:r>
      <w:r>
        <w:rPr>
          <w:b/>
          <w:bCs/>
        </w:rPr>
        <w:t xml:space="preserve">Table of Services </w:t>
      </w:r>
    </w:p>
    <w:p w14:paraId="04C2D1EA" w14:textId="77777777" w:rsidR="00C33367" w:rsidRPr="00C33367" w:rsidRDefault="00C33367" w:rsidP="00C33367">
      <w:pPr>
        <w:pStyle w:val="Default"/>
        <w:rPr>
          <w:b/>
          <w:bCs/>
        </w:rPr>
      </w:pPr>
    </w:p>
    <w:p w14:paraId="1151983B" w14:textId="4E0BB45C" w:rsidR="00C33367" w:rsidRPr="004871DC" w:rsidRDefault="00C33367" w:rsidP="00C33367">
      <w:pPr>
        <w:pStyle w:val="Default"/>
        <w:spacing w:after="78"/>
        <w:rPr>
          <w:b/>
          <w:bCs/>
        </w:rPr>
      </w:pPr>
    </w:p>
    <w:p w14:paraId="7F7B0A6B" w14:textId="534995BB" w:rsidR="00717095" w:rsidRPr="004871DC" w:rsidRDefault="00717095" w:rsidP="004871DC">
      <w:pPr>
        <w:pStyle w:val="Default"/>
        <w:rPr>
          <w:b/>
          <w:bCs/>
        </w:rPr>
      </w:pPr>
      <w:r w:rsidRPr="004871DC">
        <w:rPr>
          <w:b/>
          <w:bCs/>
        </w:rPr>
        <w:t>• Proof of Company Registration documents.</w:t>
      </w:r>
    </w:p>
    <w:p w14:paraId="41C54995" w14:textId="77777777" w:rsidR="00717095" w:rsidRPr="004871DC" w:rsidRDefault="00717095" w:rsidP="00717095">
      <w:pPr>
        <w:pStyle w:val="Default"/>
        <w:spacing w:after="160"/>
        <w:rPr>
          <w:b/>
          <w:bCs/>
        </w:rPr>
      </w:pPr>
      <w:r w:rsidRPr="004871DC">
        <w:rPr>
          <w:b/>
          <w:bCs/>
        </w:rPr>
        <w:t xml:space="preserve">• Company Profile. </w:t>
      </w:r>
    </w:p>
    <w:p w14:paraId="48A4C134" w14:textId="004CFFAB" w:rsidR="00717095" w:rsidRPr="004871DC" w:rsidRDefault="004871DC" w:rsidP="00717095">
      <w:pPr>
        <w:pStyle w:val="Default"/>
        <w:spacing w:after="160"/>
        <w:rPr>
          <w:color w:val="auto"/>
          <w:sz w:val="22"/>
          <w:szCs w:val="22"/>
          <w:u w:val="single"/>
        </w:rPr>
      </w:pPr>
      <w:r>
        <w:rPr>
          <w:rFonts w:ascii="Arial" w:hAnsi="Arial" w:cs="Arial"/>
          <w:color w:val="auto"/>
          <w:sz w:val="22"/>
          <w:szCs w:val="22"/>
        </w:rPr>
        <w:t xml:space="preserve"> </w:t>
      </w:r>
      <w:r w:rsidR="00717095" w:rsidRPr="004871DC">
        <w:rPr>
          <w:rFonts w:ascii="Arial" w:hAnsi="Arial" w:cs="Arial"/>
          <w:color w:val="auto"/>
          <w:sz w:val="22"/>
          <w:szCs w:val="22"/>
          <w:u w:val="single"/>
        </w:rPr>
        <w:t xml:space="preserve">• </w:t>
      </w:r>
      <w:r w:rsidR="00717095" w:rsidRPr="004871DC">
        <w:rPr>
          <w:color w:val="auto"/>
          <w:sz w:val="22"/>
          <w:szCs w:val="22"/>
          <w:u w:val="single"/>
        </w:rPr>
        <w:t>Available network/service providers (</w:t>
      </w:r>
      <w:proofErr w:type="spellStart"/>
      <w:r w:rsidR="00717095" w:rsidRPr="004871DC">
        <w:rPr>
          <w:color w:val="auto"/>
          <w:sz w:val="22"/>
          <w:szCs w:val="22"/>
          <w:u w:val="single"/>
        </w:rPr>
        <w:t>i.e</w:t>
      </w:r>
      <w:proofErr w:type="spellEnd"/>
      <w:r w:rsidR="00717095" w:rsidRPr="004871DC">
        <w:rPr>
          <w:color w:val="auto"/>
          <w:sz w:val="22"/>
          <w:szCs w:val="22"/>
          <w:u w:val="single"/>
        </w:rPr>
        <w:t xml:space="preserve"> hospitals, laboratories, clinics, </w:t>
      </w:r>
      <w:proofErr w:type="spellStart"/>
      <w:r w:rsidR="00717095" w:rsidRPr="004871DC">
        <w:rPr>
          <w:color w:val="auto"/>
          <w:sz w:val="22"/>
          <w:szCs w:val="22"/>
          <w:u w:val="single"/>
        </w:rPr>
        <w:t>etc</w:t>
      </w:r>
      <w:proofErr w:type="spellEnd"/>
      <w:r w:rsidR="00717095" w:rsidRPr="004871DC">
        <w:rPr>
          <w:color w:val="auto"/>
          <w:sz w:val="22"/>
          <w:szCs w:val="22"/>
          <w:u w:val="single"/>
        </w:rPr>
        <w:t xml:space="preserve">…) in all of Lebanon, with the </w:t>
      </w:r>
      <w:r w:rsidRPr="004871DC">
        <w:rPr>
          <w:color w:val="auto"/>
          <w:sz w:val="22"/>
          <w:szCs w:val="22"/>
          <w:u w:val="single"/>
        </w:rPr>
        <w:t>emphasize</w:t>
      </w:r>
      <w:r w:rsidR="00717095" w:rsidRPr="004871DC">
        <w:rPr>
          <w:color w:val="auto"/>
          <w:sz w:val="22"/>
          <w:szCs w:val="22"/>
          <w:u w:val="single"/>
        </w:rPr>
        <w:t xml:space="preserve"> on North area and </w:t>
      </w:r>
      <w:proofErr w:type="spellStart"/>
      <w:r w:rsidR="00717095" w:rsidRPr="004871DC">
        <w:rPr>
          <w:color w:val="auto"/>
          <w:sz w:val="22"/>
          <w:szCs w:val="22"/>
          <w:u w:val="single"/>
        </w:rPr>
        <w:t>Akkar</w:t>
      </w:r>
      <w:proofErr w:type="spellEnd"/>
      <w:r w:rsidR="00717095" w:rsidRPr="004871DC">
        <w:rPr>
          <w:color w:val="auto"/>
          <w:sz w:val="22"/>
          <w:szCs w:val="22"/>
          <w:u w:val="single"/>
        </w:rPr>
        <w:t xml:space="preserve">. </w:t>
      </w:r>
    </w:p>
    <w:p w14:paraId="5B885261" w14:textId="222756D1" w:rsidR="00717095" w:rsidRDefault="00717095" w:rsidP="00717095">
      <w:pPr>
        <w:pStyle w:val="Default"/>
        <w:pageBreakBefore/>
        <w:rPr>
          <w:color w:val="auto"/>
          <w:sz w:val="23"/>
          <w:szCs w:val="23"/>
        </w:rPr>
      </w:pPr>
      <w:r w:rsidRPr="004871DC">
        <w:rPr>
          <w:rFonts w:asciiTheme="majorHAnsi" w:eastAsiaTheme="majorEastAsia" w:hAnsiTheme="majorHAnsi" w:cstheme="majorBidi"/>
          <w:b/>
          <w:bCs/>
          <w:color w:val="4F81BD" w:themeColor="accent1"/>
          <w:sz w:val="22"/>
          <w:szCs w:val="22"/>
        </w:rPr>
        <w:lastRenderedPageBreak/>
        <w:t>6.</w:t>
      </w:r>
      <w:r w:rsidR="004871DC">
        <w:rPr>
          <w:rFonts w:asciiTheme="majorHAnsi" w:eastAsiaTheme="majorEastAsia" w:hAnsiTheme="majorHAnsi" w:cstheme="majorBidi"/>
          <w:b/>
          <w:bCs/>
          <w:color w:val="4F81BD" w:themeColor="accent1"/>
          <w:sz w:val="22"/>
          <w:szCs w:val="22"/>
        </w:rPr>
        <w:t>2</w:t>
      </w:r>
      <w:r w:rsidRPr="004871DC">
        <w:rPr>
          <w:rFonts w:asciiTheme="majorHAnsi" w:eastAsiaTheme="majorEastAsia" w:hAnsiTheme="majorHAnsi" w:cstheme="majorBidi"/>
          <w:b/>
          <w:bCs/>
          <w:color w:val="4F81BD" w:themeColor="accent1"/>
          <w:sz w:val="22"/>
          <w:szCs w:val="22"/>
        </w:rPr>
        <w:t xml:space="preserve"> Amendment of Bid</w:t>
      </w:r>
      <w:r>
        <w:rPr>
          <w:b/>
          <w:bCs/>
          <w:color w:val="auto"/>
          <w:sz w:val="23"/>
          <w:szCs w:val="23"/>
        </w:rPr>
        <w:t xml:space="preserve"> </w:t>
      </w:r>
    </w:p>
    <w:p w14:paraId="17CD3C24" w14:textId="14DA3775" w:rsidR="00717095" w:rsidRDefault="00717095" w:rsidP="00717095">
      <w:pPr>
        <w:pStyle w:val="Default"/>
        <w:spacing w:after="97"/>
        <w:rPr>
          <w:color w:val="auto"/>
          <w:sz w:val="22"/>
          <w:szCs w:val="22"/>
        </w:rPr>
      </w:pPr>
      <w:r>
        <w:rPr>
          <w:rFonts w:ascii="Arial" w:hAnsi="Arial" w:cs="Arial"/>
          <w:color w:val="auto"/>
          <w:sz w:val="22"/>
          <w:szCs w:val="22"/>
        </w:rPr>
        <w:t xml:space="preserve">• </w:t>
      </w:r>
      <w:r>
        <w:rPr>
          <w:color w:val="auto"/>
          <w:sz w:val="22"/>
          <w:szCs w:val="22"/>
        </w:rPr>
        <w:t xml:space="preserve">At any time prior to the deadline for submission of Bid, Tankamel Sawa’s may for any reason, such as in response to a clarification requested by a Bidder, modify the </w:t>
      </w:r>
      <w:r w:rsidR="004871DC">
        <w:rPr>
          <w:color w:val="auto"/>
          <w:sz w:val="22"/>
          <w:szCs w:val="22"/>
        </w:rPr>
        <w:t>RFQ</w:t>
      </w:r>
      <w:r>
        <w:rPr>
          <w:color w:val="auto"/>
          <w:sz w:val="22"/>
          <w:szCs w:val="22"/>
        </w:rPr>
        <w:t xml:space="preserve"> in the form of a Supplemental Information to the </w:t>
      </w:r>
      <w:r w:rsidR="004871DC">
        <w:rPr>
          <w:color w:val="auto"/>
          <w:sz w:val="22"/>
          <w:szCs w:val="22"/>
        </w:rPr>
        <w:t>RFQ</w:t>
      </w:r>
      <w:r>
        <w:rPr>
          <w:color w:val="auto"/>
          <w:sz w:val="22"/>
          <w:szCs w:val="22"/>
        </w:rPr>
        <w:t xml:space="preserve">. </w:t>
      </w:r>
    </w:p>
    <w:p w14:paraId="3788EFF2" w14:textId="7D2DE34C" w:rsidR="00717095" w:rsidRDefault="00717095" w:rsidP="00717095">
      <w:pPr>
        <w:pStyle w:val="Default"/>
        <w:rPr>
          <w:color w:val="auto"/>
          <w:sz w:val="22"/>
          <w:szCs w:val="22"/>
        </w:rPr>
      </w:pPr>
      <w:r>
        <w:rPr>
          <w:rFonts w:ascii="Arial" w:hAnsi="Arial" w:cs="Arial"/>
          <w:color w:val="auto"/>
          <w:sz w:val="22"/>
          <w:szCs w:val="22"/>
        </w:rPr>
        <w:t xml:space="preserve">• </w:t>
      </w:r>
      <w:r>
        <w:rPr>
          <w:color w:val="auto"/>
          <w:sz w:val="22"/>
          <w:szCs w:val="22"/>
        </w:rPr>
        <w:t xml:space="preserve">In order to afford prospective Bidders reasonable time to consider the amendments in preparing their Bid, Tankamel Sawa’s may extend the deadline for submission of Bid, if the nature of the amendment to the </w:t>
      </w:r>
      <w:r w:rsidR="004871DC">
        <w:rPr>
          <w:color w:val="auto"/>
          <w:sz w:val="22"/>
          <w:szCs w:val="22"/>
        </w:rPr>
        <w:t>RFQ</w:t>
      </w:r>
      <w:r>
        <w:rPr>
          <w:color w:val="auto"/>
          <w:sz w:val="22"/>
          <w:szCs w:val="22"/>
        </w:rPr>
        <w:t xml:space="preserve"> justifies such an extension. </w:t>
      </w:r>
    </w:p>
    <w:p w14:paraId="1B69D99A" w14:textId="77777777" w:rsidR="00717095" w:rsidRDefault="00717095" w:rsidP="00717095">
      <w:pPr>
        <w:pStyle w:val="Default"/>
        <w:rPr>
          <w:color w:val="auto"/>
          <w:sz w:val="22"/>
          <w:szCs w:val="22"/>
        </w:rPr>
      </w:pPr>
    </w:p>
    <w:p w14:paraId="46CDB5BF" w14:textId="495AEFFA" w:rsidR="00717095" w:rsidRDefault="00717095" w:rsidP="00717095">
      <w:pPr>
        <w:pStyle w:val="Default"/>
        <w:rPr>
          <w:color w:val="auto"/>
          <w:sz w:val="23"/>
          <w:szCs w:val="23"/>
        </w:rPr>
      </w:pPr>
      <w:r>
        <w:rPr>
          <w:b/>
          <w:bCs/>
          <w:color w:val="auto"/>
          <w:sz w:val="23"/>
          <w:szCs w:val="23"/>
        </w:rPr>
        <w:t xml:space="preserve"> Opening of Bid </w:t>
      </w:r>
    </w:p>
    <w:p w14:paraId="5CC24131" w14:textId="455E89BD" w:rsidR="00717095" w:rsidRDefault="00717095" w:rsidP="004871DC">
      <w:pPr>
        <w:pStyle w:val="Default"/>
        <w:numPr>
          <w:ilvl w:val="1"/>
          <w:numId w:val="11"/>
        </w:numPr>
        <w:spacing w:after="78"/>
        <w:rPr>
          <w:color w:val="auto"/>
          <w:sz w:val="22"/>
          <w:szCs w:val="22"/>
        </w:rPr>
      </w:pPr>
      <w:r>
        <w:rPr>
          <w:color w:val="auto"/>
          <w:sz w:val="22"/>
          <w:szCs w:val="22"/>
        </w:rPr>
        <w:t xml:space="preserve">No Bid shall be rejected at the opening stage, except for late submission. </w:t>
      </w:r>
    </w:p>
    <w:p w14:paraId="234BE8B8" w14:textId="6C1C4E6F" w:rsidR="00717095" w:rsidRDefault="00717095" w:rsidP="004871DC">
      <w:pPr>
        <w:pStyle w:val="Default"/>
        <w:numPr>
          <w:ilvl w:val="1"/>
          <w:numId w:val="11"/>
        </w:numPr>
        <w:spacing w:after="78"/>
        <w:rPr>
          <w:color w:val="auto"/>
          <w:sz w:val="22"/>
          <w:szCs w:val="22"/>
        </w:rPr>
      </w:pPr>
      <w:r>
        <w:rPr>
          <w:color w:val="auto"/>
          <w:sz w:val="22"/>
          <w:szCs w:val="22"/>
        </w:rPr>
        <w:t xml:space="preserve">Tankamel Sawa will review the Bid in the presence of evaluation committee. </w:t>
      </w:r>
    </w:p>
    <w:p w14:paraId="322B8E3F" w14:textId="14F9E80C" w:rsidR="00717095" w:rsidRDefault="00717095" w:rsidP="004871DC">
      <w:pPr>
        <w:pStyle w:val="Default"/>
        <w:numPr>
          <w:ilvl w:val="1"/>
          <w:numId w:val="11"/>
        </w:numPr>
        <w:spacing w:after="78"/>
        <w:rPr>
          <w:color w:val="auto"/>
          <w:sz w:val="22"/>
          <w:szCs w:val="22"/>
        </w:rPr>
      </w:pPr>
      <w:r>
        <w:rPr>
          <w:color w:val="auto"/>
          <w:sz w:val="22"/>
          <w:szCs w:val="22"/>
        </w:rPr>
        <w:t xml:space="preserve">Information relating to the examination, evaluation, and comparison of Bid, and the recommendation of contract award, shall not be disclosed to Bidders or any other persons not officially concerned with such process, even after publication of the contract award. </w:t>
      </w:r>
    </w:p>
    <w:p w14:paraId="6224F3DA" w14:textId="5247C13E" w:rsidR="004871DC" w:rsidRDefault="00717095" w:rsidP="004871DC">
      <w:pPr>
        <w:pStyle w:val="Default"/>
        <w:numPr>
          <w:ilvl w:val="1"/>
          <w:numId w:val="11"/>
        </w:numPr>
        <w:spacing w:after="78"/>
        <w:rPr>
          <w:color w:val="auto"/>
          <w:sz w:val="22"/>
          <w:szCs w:val="22"/>
        </w:rPr>
      </w:pPr>
      <w:r>
        <w:rPr>
          <w:color w:val="auto"/>
          <w:sz w:val="22"/>
          <w:szCs w:val="22"/>
        </w:rPr>
        <w:t xml:space="preserve">The selection committee shall review and evaluate the Bids on the basis of their responsiveness to the requirements and </w:t>
      </w:r>
      <w:proofErr w:type="spellStart"/>
      <w:r>
        <w:rPr>
          <w:color w:val="auto"/>
          <w:sz w:val="22"/>
          <w:szCs w:val="22"/>
        </w:rPr>
        <w:t>ToR</w:t>
      </w:r>
      <w:proofErr w:type="spellEnd"/>
      <w:r>
        <w:rPr>
          <w:color w:val="auto"/>
          <w:sz w:val="22"/>
          <w:szCs w:val="22"/>
        </w:rPr>
        <w:t xml:space="preserve">, the services provided, the price, and other documentation provided. </w:t>
      </w:r>
    </w:p>
    <w:p w14:paraId="3D016B5E" w14:textId="4D2F0B85" w:rsidR="00717095" w:rsidRDefault="00717095" w:rsidP="004871DC">
      <w:pPr>
        <w:pStyle w:val="Default"/>
        <w:numPr>
          <w:ilvl w:val="1"/>
          <w:numId w:val="11"/>
        </w:numPr>
        <w:rPr>
          <w:color w:val="auto"/>
          <w:sz w:val="22"/>
          <w:szCs w:val="22"/>
        </w:rPr>
      </w:pPr>
      <w:r>
        <w:rPr>
          <w:color w:val="auto"/>
          <w:sz w:val="22"/>
          <w:szCs w:val="22"/>
        </w:rPr>
        <w:t xml:space="preserve">To assist in the examination, evaluation and comparison of bids, Tankamel Sawa’s may, at its discretion, ask any Bidder to clarify its Bid. Tankamel Sawa’s request for clarification and the Bidder’s response shall be in writing. </w:t>
      </w:r>
    </w:p>
    <w:p w14:paraId="20D9C0F0" w14:textId="00CE5FE1" w:rsidR="004871DC" w:rsidRDefault="004871DC" w:rsidP="004871DC">
      <w:pPr>
        <w:pStyle w:val="Default"/>
        <w:numPr>
          <w:ilvl w:val="1"/>
          <w:numId w:val="11"/>
        </w:numPr>
        <w:rPr>
          <w:color w:val="auto"/>
          <w:sz w:val="22"/>
          <w:szCs w:val="22"/>
        </w:rPr>
      </w:pPr>
      <w:r>
        <w:rPr>
          <w:color w:val="auto"/>
          <w:sz w:val="22"/>
          <w:szCs w:val="22"/>
        </w:rPr>
        <w:t xml:space="preserve">Any Bidder with missing documentation and or missing filled annexes/ stamps will be disqualified immediately. </w:t>
      </w:r>
    </w:p>
    <w:p w14:paraId="7E163D62" w14:textId="77777777" w:rsidR="004871DC" w:rsidRDefault="004871DC" w:rsidP="004871DC">
      <w:pPr>
        <w:pStyle w:val="Default"/>
        <w:ind w:left="720"/>
        <w:rPr>
          <w:color w:val="auto"/>
          <w:sz w:val="22"/>
          <w:szCs w:val="22"/>
        </w:rPr>
      </w:pPr>
    </w:p>
    <w:p w14:paraId="7A80C2FF" w14:textId="77777777" w:rsidR="00717095" w:rsidRDefault="00717095" w:rsidP="00717095">
      <w:pPr>
        <w:pStyle w:val="Default"/>
        <w:rPr>
          <w:color w:val="auto"/>
          <w:sz w:val="22"/>
          <w:szCs w:val="22"/>
        </w:rPr>
      </w:pPr>
    </w:p>
    <w:p w14:paraId="52FB82A3" w14:textId="77777777" w:rsidR="00717095" w:rsidRDefault="00717095"/>
    <w:sectPr w:rsidR="00717095"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2121D16"/>
    <w:multiLevelType w:val="hybridMultilevel"/>
    <w:tmpl w:val="C7AA6666"/>
    <w:lvl w:ilvl="0" w:tplc="F4AADEB8">
      <w:start w:val="3"/>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AA7"/>
    <w:multiLevelType w:val="hybridMultilevel"/>
    <w:tmpl w:val="41362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A5B1A"/>
    <w:multiLevelType w:val="hybridMultilevel"/>
    <w:tmpl w:val="5F9AF7FA"/>
    <w:lvl w:ilvl="0" w:tplc="2340B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5328"/>
    <w:multiLevelType w:val="hybridMultilevel"/>
    <w:tmpl w:val="ADAC2326"/>
    <w:lvl w:ilvl="0" w:tplc="0409000B">
      <w:start w:val="1"/>
      <w:numFmt w:val="bullet"/>
      <w:lvlText w:val=""/>
      <w:lvlJc w:val="left"/>
      <w:pPr>
        <w:ind w:left="720" w:hanging="360"/>
      </w:pPr>
      <w:rPr>
        <w:rFonts w:ascii="Wingdings" w:hAnsi="Wingdings" w:hint="default"/>
      </w:rPr>
    </w:lvl>
    <w:lvl w:ilvl="1" w:tplc="C9D8F6C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351F0"/>
    <w:multiLevelType w:val="hybridMultilevel"/>
    <w:tmpl w:val="59C2C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64D73"/>
    <w:multiLevelType w:val="hybridMultilevel"/>
    <w:tmpl w:val="FEBAD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82A84"/>
    <w:multiLevelType w:val="hybridMultilevel"/>
    <w:tmpl w:val="AE56C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2"/>
  </w:num>
  <w:num w:numId="12">
    <w:abstractNumId w:val="15"/>
  </w:num>
  <w:num w:numId="13">
    <w:abstractNumId w:val="11"/>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71DC"/>
    <w:rsid w:val="00717095"/>
    <w:rsid w:val="00AA1D8D"/>
    <w:rsid w:val="00B47730"/>
    <w:rsid w:val="00C33367"/>
    <w:rsid w:val="00C60857"/>
    <w:rsid w:val="00CB0664"/>
    <w:rsid w:val="00DB6CA8"/>
    <w:rsid w:val="00F133D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72B28"/>
  <w14:defaultImageDpi w14:val="300"/>
  <w15:docId w15:val="{3E6EB9D6-5FD2-4A18-8621-3A8B37CD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7170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643E-CABE-4329-8D7D-AE9ECE45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Mario Sassine</cp:lastModifiedBy>
  <cp:revision>4</cp:revision>
  <dcterms:created xsi:type="dcterms:W3CDTF">2024-05-08T11:06:00Z</dcterms:created>
  <dcterms:modified xsi:type="dcterms:W3CDTF">2024-05-08T11:22:00Z</dcterms:modified>
  <cp:category/>
</cp:coreProperties>
</file>